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4B4CF" w14:textId="01552A29" w:rsidR="00CC1BB2" w:rsidRPr="00DF3EFF" w:rsidRDefault="00B82347" w:rsidP="00225D0F">
      <w:pPr>
        <w:pStyle w:val="Titel"/>
      </w:pPr>
      <w:r>
        <w:t>P</w:t>
      </w:r>
      <w:r w:rsidR="00CC1BB2" w:rsidRPr="00DF3EFF">
        <w:t>rotocoli</w:t>
      </w:r>
      <w:r w:rsidR="001F18B6" w:rsidRPr="00DF3EFF">
        <w:t>s</w:t>
      </w:r>
      <w:r w:rsidR="00CC1BB2" w:rsidRPr="00DF3EFF">
        <w:t>ed REDUction of non-resuscitation fluids versus usual care in SEptic shock patients</w:t>
      </w:r>
      <w:r w:rsidR="00176183" w:rsidRPr="00DF3EFF">
        <w:t xml:space="preserve"> (REDUSE)</w:t>
      </w:r>
      <w:r w:rsidR="00B523F5" w:rsidRPr="00DF3EFF">
        <w:t xml:space="preserve"> - a</w:t>
      </w:r>
      <w:r w:rsidR="00CC1BB2" w:rsidRPr="00DF3EFF">
        <w:t xml:space="preserve"> </w:t>
      </w:r>
      <w:r w:rsidR="00B523F5" w:rsidRPr="00DF3EFF">
        <w:t xml:space="preserve">statistical analysis plan </w:t>
      </w:r>
      <w:r w:rsidR="00CC1BB2" w:rsidRPr="00DF3EFF">
        <w:t xml:space="preserve">for </w:t>
      </w:r>
      <w:r w:rsidR="00DA37E7" w:rsidRPr="00DF3EFF">
        <w:t>a multicent</w:t>
      </w:r>
      <w:r w:rsidR="00E331D8" w:rsidRPr="00DF3EFF">
        <w:t>re</w:t>
      </w:r>
      <w:r w:rsidR="00DA37E7" w:rsidRPr="00DF3EFF">
        <w:t xml:space="preserve"> feasi</w:t>
      </w:r>
      <w:r w:rsidR="00CC1BB2" w:rsidRPr="00DF3EFF">
        <w:t>bility trial</w:t>
      </w:r>
    </w:p>
    <w:p w14:paraId="43E6E4C6" w14:textId="66E26400" w:rsidR="00C62287" w:rsidRPr="00363C2A" w:rsidRDefault="005D4D88" w:rsidP="005D4D88">
      <w:pPr>
        <w:jc w:val="center"/>
        <w:rPr>
          <w:vertAlign w:val="superscript"/>
          <w:lang w:val="en-GB"/>
        </w:rPr>
      </w:pPr>
      <w:r w:rsidRPr="00363C2A">
        <w:rPr>
          <w:lang w:val="en-GB"/>
        </w:rPr>
        <w:t>Markus Harboe Olsen</w:t>
      </w:r>
      <w:r w:rsidRPr="00363C2A">
        <w:rPr>
          <w:vertAlign w:val="superscript"/>
          <w:lang w:val="en-GB"/>
        </w:rPr>
        <w:t>1,2</w:t>
      </w:r>
      <w:r w:rsidRPr="00363C2A">
        <w:rPr>
          <w:lang w:val="en-GB"/>
        </w:rPr>
        <w:t xml:space="preserve">, </w:t>
      </w:r>
      <w:r w:rsidR="006174B1" w:rsidRPr="00363C2A">
        <w:rPr>
          <w:lang w:val="en-GB"/>
        </w:rPr>
        <w:t>Anja Lindén</w:t>
      </w:r>
      <w:r w:rsidR="00F436DF" w:rsidRPr="00363C2A">
        <w:rPr>
          <w:vertAlign w:val="superscript"/>
          <w:lang w:val="en-GB"/>
        </w:rPr>
        <w:t>3</w:t>
      </w:r>
      <w:r w:rsidRPr="00363C2A">
        <w:rPr>
          <w:lang w:val="en-GB"/>
        </w:rPr>
        <w:t xml:space="preserve">, </w:t>
      </w:r>
      <w:r w:rsidR="00B600A2" w:rsidRPr="00363C2A">
        <w:rPr>
          <w:lang w:val="en-GB"/>
        </w:rPr>
        <w:t>Gisela Lilja</w:t>
      </w:r>
      <w:r w:rsidRPr="00363C2A">
        <w:rPr>
          <w:vertAlign w:val="superscript"/>
          <w:lang w:val="en-GB"/>
        </w:rPr>
        <w:t>4</w:t>
      </w:r>
      <w:r w:rsidR="00B600A2" w:rsidRPr="00363C2A">
        <w:rPr>
          <w:lang w:val="en-GB"/>
        </w:rPr>
        <w:t>, Jane Fisher</w:t>
      </w:r>
      <w:r w:rsidR="00BE7F5E" w:rsidRPr="00363C2A">
        <w:rPr>
          <w:vertAlign w:val="superscript"/>
          <w:lang w:val="en-GB"/>
        </w:rPr>
        <w:t>3</w:t>
      </w:r>
      <w:r w:rsidR="00B600A2" w:rsidRPr="00363C2A">
        <w:rPr>
          <w:lang w:val="en-GB"/>
        </w:rPr>
        <w:t>, Fredrik Sjövall</w:t>
      </w:r>
      <w:r w:rsidR="00701524" w:rsidRPr="00363C2A">
        <w:rPr>
          <w:vertAlign w:val="superscript"/>
          <w:lang w:val="en-GB"/>
        </w:rPr>
        <w:t>5</w:t>
      </w:r>
      <w:r w:rsidR="00B600A2" w:rsidRPr="00363C2A">
        <w:rPr>
          <w:lang w:val="en-GB"/>
        </w:rPr>
        <w:t>,</w:t>
      </w:r>
      <w:r w:rsidR="006174B1" w:rsidRPr="00363C2A">
        <w:rPr>
          <w:lang w:val="en-GB"/>
        </w:rPr>
        <w:t xml:space="preserve"> Mårten Jungner</w:t>
      </w:r>
      <w:r w:rsidR="00701524" w:rsidRPr="00363C2A">
        <w:rPr>
          <w:vertAlign w:val="superscript"/>
          <w:lang w:val="en-GB"/>
        </w:rPr>
        <w:t>5</w:t>
      </w:r>
      <w:r w:rsidR="006174B1" w:rsidRPr="00363C2A">
        <w:rPr>
          <w:lang w:val="en-GB"/>
        </w:rPr>
        <w:t xml:space="preserve">, </w:t>
      </w:r>
      <w:r w:rsidR="004C7990" w:rsidRPr="00363C2A">
        <w:rPr>
          <w:lang w:val="en-GB"/>
        </w:rPr>
        <w:t>Johan Undén</w:t>
      </w:r>
      <w:r w:rsidR="00BE7F5E" w:rsidRPr="00363C2A">
        <w:rPr>
          <w:vertAlign w:val="superscript"/>
          <w:lang w:val="en-GB"/>
        </w:rPr>
        <w:t>6</w:t>
      </w:r>
      <w:r w:rsidR="004C7990" w:rsidRPr="00363C2A">
        <w:rPr>
          <w:lang w:val="en-GB"/>
        </w:rPr>
        <w:t xml:space="preserve">, </w:t>
      </w:r>
      <w:r w:rsidR="006174B1" w:rsidRPr="00363C2A">
        <w:rPr>
          <w:lang w:val="en-GB"/>
        </w:rPr>
        <w:t>Thomas Kander</w:t>
      </w:r>
      <w:r w:rsidR="00BE7F5E" w:rsidRPr="00363C2A">
        <w:rPr>
          <w:vertAlign w:val="superscript"/>
          <w:lang w:val="en-GB"/>
        </w:rPr>
        <w:t>7</w:t>
      </w:r>
      <w:r w:rsidR="006174B1" w:rsidRPr="00363C2A">
        <w:rPr>
          <w:lang w:val="en-GB"/>
        </w:rPr>
        <w:t>, Martin Spångfors</w:t>
      </w:r>
      <w:r w:rsidR="00BE7F5E" w:rsidRPr="00363C2A">
        <w:rPr>
          <w:vertAlign w:val="superscript"/>
          <w:lang w:val="en-GB"/>
        </w:rPr>
        <w:t>8</w:t>
      </w:r>
      <w:r w:rsidR="00F436DF" w:rsidRPr="00363C2A">
        <w:rPr>
          <w:lang w:val="en-GB"/>
        </w:rPr>
        <w:t>,</w:t>
      </w:r>
      <w:r w:rsidR="001243D6" w:rsidRPr="00363C2A">
        <w:rPr>
          <w:lang w:val="en-GB"/>
        </w:rPr>
        <w:t xml:space="preserve"> Line Samuelsson</w:t>
      </w:r>
      <w:r w:rsidR="00BE7F5E" w:rsidRPr="00363C2A">
        <w:rPr>
          <w:vertAlign w:val="superscript"/>
          <w:lang w:val="en-GB"/>
        </w:rPr>
        <w:t>9</w:t>
      </w:r>
      <w:r w:rsidR="001243D6" w:rsidRPr="00363C2A">
        <w:rPr>
          <w:lang w:val="en-GB"/>
        </w:rPr>
        <w:t>, Jonatan Oras</w:t>
      </w:r>
      <w:r w:rsidR="001243D6" w:rsidRPr="00363C2A">
        <w:rPr>
          <w:vertAlign w:val="superscript"/>
          <w:lang w:val="en-GB"/>
        </w:rPr>
        <w:t>1</w:t>
      </w:r>
      <w:r w:rsidR="00BE7F5E" w:rsidRPr="00363C2A">
        <w:rPr>
          <w:vertAlign w:val="superscript"/>
          <w:lang w:val="en-GB"/>
        </w:rPr>
        <w:t>0</w:t>
      </w:r>
      <w:r w:rsidR="001243D6" w:rsidRPr="00363C2A">
        <w:rPr>
          <w:lang w:val="en-GB"/>
        </w:rPr>
        <w:t>, Miklos Lipcsey</w:t>
      </w:r>
      <w:r w:rsidR="001243D6" w:rsidRPr="00363C2A">
        <w:rPr>
          <w:vertAlign w:val="superscript"/>
          <w:lang w:val="en-GB"/>
        </w:rPr>
        <w:t>1</w:t>
      </w:r>
      <w:r w:rsidR="00BE7F5E" w:rsidRPr="00363C2A">
        <w:rPr>
          <w:vertAlign w:val="superscript"/>
          <w:lang w:val="en-GB"/>
        </w:rPr>
        <w:t>1</w:t>
      </w:r>
      <w:r w:rsidR="001243D6" w:rsidRPr="00363C2A">
        <w:rPr>
          <w:lang w:val="en-GB"/>
        </w:rPr>
        <w:t xml:space="preserve">, </w:t>
      </w:r>
      <w:r w:rsidRPr="00363C2A">
        <w:rPr>
          <w:lang w:val="en-GB"/>
        </w:rPr>
        <w:t>Niklas Nielsen</w:t>
      </w:r>
      <w:r w:rsidR="001243D6" w:rsidRPr="00363C2A">
        <w:rPr>
          <w:vertAlign w:val="superscript"/>
          <w:lang w:val="en-GB"/>
        </w:rPr>
        <w:t>3</w:t>
      </w:r>
      <w:r w:rsidRPr="00363C2A">
        <w:rPr>
          <w:lang w:val="en-GB"/>
        </w:rPr>
        <w:t xml:space="preserve">, </w:t>
      </w:r>
      <w:r w:rsidR="006174B1" w:rsidRPr="00363C2A">
        <w:rPr>
          <w:lang w:val="en-GB"/>
        </w:rPr>
        <w:t>Peter Bentzer</w:t>
      </w:r>
      <w:r w:rsidR="00BE7F5E" w:rsidRPr="00363C2A">
        <w:rPr>
          <w:vertAlign w:val="superscript"/>
          <w:lang w:val="en-GB"/>
        </w:rPr>
        <w:t>3</w:t>
      </w:r>
      <w:r w:rsidR="001243D6" w:rsidRPr="00363C2A">
        <w:rPr>
          <w:lang w:val="en-GB"/>
        </w:rPr>
        <w:t xml:space="preserve">, </w:t>
      </w:r>
      <w:r w:rsidRPr="00363C2A">
        <w:rPr>
          <w:lang w:val="en-GB"/>
        </w:rPr>
        <w:t>Janus Christian Jakobsen</w:t>
      </w:r>
      <w:r w:rsidRPr="00363C2A">
        <w:rPr>
          <w:vertAlign w:val="superscript"/>
          <w:lang w:val="en-GB"/>
        </w:rPr>
        <w:t>1,</w:t>
      </w:r>
      <w:r w:rsidR="00BE7F5E" w:rsidRPr="00363C2A">
        <w:rPr>
          <w:vertAlign w:val="superscript"/>
          <w:lang w:val="en-GB"/>
        </w:rPr>
        <w:t>12</w:t>
      </w:r>
    </w:p>
    <w:p w14:paraId="168F100B" w14:textId="77777777" w:rsidR="000923EA" w:rsidRPr="00363C2A" w:rsidRDefault="000923EA" w:rsidP="000923EA">
      <w:pPr>
        <w:rPr>
          <w:lang w:val="en-GB"/>
        </w:rPr>
      </w:pPr>
    </w:p>
    <w:p w14:paraId="77AC8019" w14:textId="77777777" w:rsidR="005D4D88" w:rsidRPr="00DF3EFF" w:rsidRDefault="005D4D88" w:rsidP="005D4D88">
      <w:pPr>
        <w:rPr>
          <w:rFonts w:cs="Arial"/>
          <w:b/>
          <w:lang w:val="en-GB"/>
        </w:rPr>
      </w:pPr>
      <w:r w:rsidRPr="00DF3EFF">
        <w:rPr>
          <w:rFonts w:cs="Arial"/>
          <w:b/>
          <w:lang w:val="en-GB"/>
        </w:rPr>
        <w:t xml:space="preserve">Affiliations: </w:t>
      </w:r>
    </w:p>
    <w:p w14:paraId="7DB6836F" w14:textId="77777777" w:rsidR="005D4D88" w:rsidRPr="00DF3EFF" w:rsidRDefault="005D4D88" w:rsidP="005D4D88">
      <w:pPr>
        <w:rPr>
          <w:vertAlign w:val="superscript"/>
          <w:lang w:val="en-GB"/>
        </w:rPr>
      </w:pPr>
      <w:r w:rsidRPr="00DF3EFF">
        <w:rPr>
          <w:bCs/>
          <w:vertAlign w:val="superscript"/>
          <w:lang w:val="en-GB"/>
        </w:rPr>
        <w:t>1</w:t>
      </w:r>
      <w:r w:rsidRPr="00DF3EFF">
        <w:rPr>
          <w:b/>
          <w:vertAlign w:val="superscript"/>
          <w:lang w:val="en-GB"/>
        </w:rPr>
        <w:t xml:space="preserve"> </w:t>
      </w:r>
      <w:r w:rsidRPr="00DF3EFF">
        <w:rPr>
          <w:lang w:val="en-GB"/>
        </w:rPr>
        <w:t xml:space="preserve">Copenhagen Trial Unit, Centre for Clinical Intervention Research, Copenhagen University Hospital </w:t>
      </w:r>
      <w:r w:rsidRPr="00DF3EFF">
        <w:rPr>
          <w:rFonts w:cs="Calibri"/>
          <w:lang w:val="en-GB"/>
        </w:rPr>
        <w:t xml:space="preserve">− </w:t>
      </w:r>
      <w:r w:rsidRPr="00DF3EFF">
        <w:rPr>
          <w:lang w:val="en-GB"/>
        </w:rPr>
        <w:t>Rigshospitalet, Copenhagen, Denmark.</w:t>
      </w:r>
    </w:p>
    <w:p w14:paraId="5DDD2751" w14:textId="77777777" w:rsidR="005D4D88" w:rsidRPr="00DF3EFF" w:rsidRDefault="005D4D88" w:rsidP="005D4D88">
      <w:pPr>
        <w:rPr>
          <w:lang w:val="en-GB"/>
        </w:rPr>
      </w:pPr>
      <w:r w:rsidRPr="00DF3EFF">
        <w:rPr>
          <w:vertAlign w:val="superscript"/>
          <w:lang w:val="en-GB"/>
        </w:rPr>
        <w:t>2</w:t>
      </w:r>
      <w:r w:rsidRPr="00DF3EFF">
        <w:rPr>
          <w:lang w:val="en-GB"/>
        </w:rPr>
        <w:t xml:space="preserve"> Department of Neuroanaesthesiology, The Neuroscience Centre, Copenhagen University Hospital </w:t>
      </w:r>
      <w:r w:rsidRPr="00DF3EFF">
        <w:rPr>
          <w:rFonts w:cs="Calibri"/>
          <w:lang w:val="en-GB"/>
        </w:rPr>
        <w:t>−</w:t>
      </w:r>
      <w:r w:rsidRPr="00DF3EFF">
        <w:rPr>
          <w:lang w:val="en-GB"/>
        </w:rPr>
        <w:t xml:space="preserve"> Rigshospitalet, Denmark.</w:t>
      </w:r>
    </w:p>
    <w:p w14:paraId="132F8BBF" w14:textId="1623448C" w:rsidR="007C2D4F" w:rsidRPr="00DF3EFF" w:rsidRDefault="005D4D88" w:rsidP="005D4D88">
      <w:pPr>
        <w:rPr>
          <w:vertAlign w:val="superscript"/>
          <w:lang w:val="en-GB"/>
        </w:rPr>
      </w:pPr>
      <w:r w:rsidRPr="00DF3EFF">
        <w:rPr>
          <w:vertAlign w:val="superscript"/>
          <w:lang w:val="en-GB"/>
        </w:rPr>
        <w:t>3</w:t>
      </w:r>
      <w:r w:rsidR="001243D6" w:rsidRPr="00363C2A">
        <w:rPr>
          <w:lang w:val="en-GB"/>
        </w:rPr>
        <w:t xml:space="preserve"> </w:t>
      </w:r>
      <w:r w:rsidR="001243D6" w:rsidRPr="00DF3EFF">
        <w:rPr>
          <w:lang w:val="en-GB"/>
        </w:rPr>
        <w:t>An</w:t>
      </w:r>
      <w:r w:rsidR="00BE7F5E" w:rsidRPr="00DF3EFF">
        <w:rPr>
          <w:lang w:val="en-GB"/>
        </w:rPr>
        <w:t>a</w:t>
      </w:r>
      <w:r w:rsidR="001243D6" w:rsidRPr="00DF3EFF">
        <w:rPr>
          <w:lang w:val="en-GB"/>
        </w:rPr>
        <w:t>esthesia and Intensive Care, Department of Clinical sciences Lund, Lund University, Helsingborg Hospital, Helsingborg, Sweden</w:t>
      </w:r>
    </w:p>
    <w:p w14:paraId="7D67257E" w14:textId="013D2509" w:rsidR="00484EA6" w:rsidRPr="00363C2A" w:rsidRDefault="005D4D88" w:rsidP="00363C2A">
      <w:pPr>
        <w:rPr>
          <w:rFonts w:ascii="Arial" w:eastAsia="Times New Roman" w:hAnsi="Arial" w:cs="Arial"/>
          <w:color w:val="303030"/>
          <w:sz w:val="18"/>
          <w:szCs w:val="18"/>
          <w:lang w:val="en-GB" w:eastAsia="sv-SE"/>
        </w:rPr>
      </w:pPr>
      <w:r w:rsidRPr="00DF3EFF">
        <w:rPr>
          <w:vertAlign w:val="superscript"/>
          <w:lang w:val="en-GB"/>
        </w:rPr>
        <w:t xml:space="preserve">4 </w:t>
      </w:r>
      <w:r w:rsidR="00484EA6" w:rsidRPr="00363C2A">
        <w:rPr>
          <w:rFonts w:eastAsia="Times New Roman" w:cs="Arial"/>
          <w:color w:val="303030"/>
          <w:lang w:val="en-GB" w:eastAsia="sv-SE"/>
        </w:rPr>
        <w:t>Neurology, Department of Clinical Sciences Lund, Lund University, Skane University Hospital, Lund, Sweden</w:t>
      </w:r>
      <w:r w:rsidR="00484EA6" w:rsidRPr="00363C2A">
        <w:rPr>
          <w:rFonts w:ascii="Arial" w:eastAsia="Times New Roman" w:hAnsi="Arial" w:cs="Arial"/>
          <w:color w:val="303030"/>
          <w:sz w:val="18"/>
          <w:szCs w:val="18"/>
          <w:lang w:val="en-GB" w:eastAsia="sv-SE"/>
        </w:rPr>
        <w:t xml:space="preserve">, </w:t>
      </w:r>
    </w:p>
    <w:p w14:paraId="5776B974" w14:textId="0435063E" w:rsidR="005D4D88" w:rsidRPr="00DF3EFF" w:rsidRDefault="005D4D88" w:rsidP="005D4D88">
      <w:pPr>
        <w:rPr>
          <w:vertAlign w:val="superscript"/>
          <w:lang w:val="en-GB"/>
        </w:rPr>
      </w:pPr>
      <w:r w:rsidRPr="00DF3EFF">
        <w:rPr>
          <w:vertAlign w:val="superscript"/>
          <w:lang w:val="en-GB"/>
        </w:rPr>
        <w:t xml:space="preserve">5 </w:t>
      </w:r>
      <w:r w:rsidR="001C2CF2" w:rsidRPr="00DF3EFF">
        <w:rPr>
          <w:lang w:val="en-GB"/>
        </w:rPr>
        <w:t>Intensive and perioperative care, Skane university hospital, Malmö, Sweden. Department of clinical sciences Lund university, Lund, Sweden.</w:t>
      </w:r>
    </w:p>
    <w:p w14:paraId="4BADC8C4" w14:textId="4F14DB2D" w:rsidR="005D4D88" w:rsidRPr="00DF3EFF" w:rsidRDefault="005D4D88" w:rsidP="005D4D88">
      <w:pPr>
        <w:rPr>
          <w:vertAlign w:val="superscript"/>
          <w:lang w:val="en-GB"/>
        </w:rPr>
      </w:pPr>
      <w:r w:rsidRPr="00DF3EFF">
        <w:rPr>
          <w:vertAlign w:val="superscript"/>
          <w:lang w:val="en-GB"/>
        </w:rPr>
        <w:t>6</w:t>
      </w:r>
      <w:r w:rsidR="00E807E2" w:rsidRPr="00146864">
        <w:rPr>
          <w:lang w:val="en-US"/>
        </w:rPr>
        <w:t xml:space="preserve"> </w:t>
      </w:r>
      <w:r w:rsidR="00E807E2" w:rsidRPr="00146864">
        <w:rPr>
          <w:lang w:val="en-GB"/>
        </w:rPr>
        <w:t>Department of Operation and Intensive Care, Hallands Hospital Halmstad, Halmstad, Sweden</w:t>
      </w:r>
    </w:p>
    <w:p w14:paraId="6C73AF85" w14:textId="7730D721" w:rsidR="00210848" w:rsidRPr="00146864" w:rsidRDefault="005D4D88" w:rsidP="00210848">
      <w:pPr>
        <w:rPr>
          <w:lang w:val="en-GB"/>
        </w:rPr>
      </w:pPr>
      <w:r w:rsidRPr="00DF3EFF">
        <w:rPr>
          <w:vertAlign w:val="superscript"/>
          <w:lang w:val="en-GB"/>
        </w:rPr>
        <w:t>7</w:t>
      </w:r>
      <w:r w:rsidR="00210848" w:rsidRPr="00146864">
        <w:rPr>
          <w:lang w:val="en-GB"/>
        </w:rPr>
        <w:t>Anaesthesia and Intensive Care, Department of Clinical sciences Lund, Lund University, Skåne University Hospital, Lund, Sweden</w:t>
      </w:r>
    </w:p>
    <w:p w14:paraId="6B8A982C" w14:textId="75560BCA" w:rsidR="005D4D88" w:rsidRPr="00DF3EFF" w:rsidRDefault="005D4D88" w:rsidP="005D4D88">
      <w:pPr>
        <w:rPr>
          <w:lang w:val="en-GB"/>
        </w:rPr>
      </w:pPr>
      <w:r w:rsidRPr="00DF3EFF">
        <w:rPr>
          <w:vertAlign w:val="superscript"/>
          <w:lang w:val="en-GB"/>
        </w:rPr>
        <w:t>8</w:t>
      </w:r>
      <w:r w:rsidRPr="00DF3EFF">
        <w:rPr>
          <w:lang w:val="en-GB"/>
        </w:rPr>
        <w:t xml:space="preserve"> </w:t>
      </w:r>
      <w:r w:rsidR="009330DE" w:rsidRPr="00DF3EFF">
        <w:rPr>
          <w:lang w:val="en-GB"/>
        </w:rPr>
        <w:t>Anaesthesia and Intensive Care, Department of Clinical sciences Lund, Lund University, Kristianstad Hospital, Kristianstad, Sweden</w:t>
      </w:r>
    </w:p>
    <w:p w14:paraId="516588CD" w14:textId="21C279B4" w:rsidR="00AC1FA2" w:rsidRPr="00363C2A" w:rsidRDefault="4565EAAF" w:rsidP="005D4D88">
      <w:pPr>
        <w:rPr>
          <w:lang w:val="en-GB"/>
        </w:rPr>
      </w:pPr>
      <w:r w:rsidRPr="00DF3EFF">
        <w:rPr>
          <w:vertAlign w:val="superscript"/>
          <w:lang w:val="en-GB"/>
        </w:rPr>
        <w:t>9</w:t>
      </w:r>
      <w:r w:rsidRPr="00363C2A">
        <w:rPr>
          <w:lang w:val="en-GB"/>
        </w:rPr>
        <w:t xml:space="preserve">Anaesthesia and Intensive Care, </w:t>
      </w:r>
      <w:r w:rsidRPr="00363C2A">
        <w:rPr>
          <w:rFonts w:eastAsiaTheme="minorEastAsia"/>
          <w:lang w:val="en-GB"/>
        </w:rPr>
        <w:t>Östersund</w:t>
      </w:r>
      <w:r w:rsidRPr="00363C2A">
        <w:rPr>
          <w:lang w:val="en-GB"/>
        </w:rPr>
        <w:t xml:space="preserve"> Hospital. Department of Surgery and</w:t>
      </w:r>
      <w:r w:rsidR="007C2D4F">
        <w:rPr>
          <w:lang w:val="en-GB"/>
        </w:rPr>
        <w:t xml:space="preserve"> </w:t>
      </w:r>
      <w:r w:rsidRPr="00363C2A">
        <w:rPr>
          <w:lang w:val="en-GB"/>
        </w:rPr>
        <w:t>Perioperative Sciences, Umeå University, Umeå, Sweden</w:t>
      </w:r>
    </w:p>
    <w:p w14:paraId="47C42038" w14:textId="3CC3A10B" w:rsidR="00AC1FA2" w:rsidRPr="00363C2A" w:rsidRDefault="00AC1FA2" w:rsidP="005D4D88">
      <w:pPr>
        <w:rPr>
          <w:lang w:val="en-GB"/>
        </w:rPr>
      </w:pPr>
      <w:r w:rsidRPr="00DF3EFF">
        <w:rPr>
          <w:vertAlign w:val="superscript"/>
          <w:lang w:val="en-GB"/>
        </w:rPr>
        <w:t>10</w:t>
      </w:r>
      <w:r w:rsidR="00972E7F">
        <w:rPr>
          <w:lang w:val="en-GB"/>
        </w:rPr>
        <w:t xml:space="preserve"> Department of An</w:t>
      </w:r>
      <w:r w:rsidR="00363C2A">
        <w:rPr>
          <w:lang w:val="en-GB"/>
        </w:rPr>
        <w:t>a</w:t>
      </w:r>
      <w:r w:rsidR="00972E7F">
        <w:rPr>
          <w:lang w:val="en-GB"/>
        </w:rPr>
        <w:t>esthesiology and Intensive Care Medicine, Institute of Clinical Sciences, University of Gothenburg, Gothenburg, Sweden</w:t>
      </w:r>
    </w:p>
    <w:p w14:paraId="27BEC2F6" w14:textId="1ECF1848" w:rsidR="00A76C23" w:rsidRPr="00146864" w:rsidRDefault="00AC1FA2" w:rsidP="00A76C23">
      <w:pPr>
        <w:rPr>
          <w:lang w:val="en-GB"/>
        </w:rPr>
      </w:pPr>
      <w:r w:rsidRPr="00DF3EFF">
        <w:rPr>
          <w:vertAlign w:val="superscript"/>
          <w:lang w:val="en-GB"/>
        </w:rPr>
        <w:lastRenderedPageBreak/>
        <w:t>11</w:t>
      </w:r>
      <w:r w:rsidR="00A76C23" w:rsidRPr="00146864">
        <w:rPr>
          <w:lang w:val="en-US"/>
        </w:rPr>
        <w:t xml:space="preserve"> </w:t>
      </w:r>
      <w:r w:rsidR="00A76C23" w:rsidRPr="00146864">
        <w:rPr>
          <w:lang w:val="en-GB"/>
        </w:rPr>
        <w:t>Department of Surgical Sciences, Anaesthesiology and Intensive Ca</w:t>
      </w:r>
      <w:r w:rsidR="00A76C23" w:rsidRPr="00A76C23">
        <w:rPr>
          <w:lang w:val="en-GB"/>
        </w:rPr>
        <w:t>re, Uppsala University, Sweden</w:t>
      </w:r>
      <w:r w:rsidR="00A76C23">
        <w:rPr>
          <w:lang w:val="en-GB"/>
        </w:rPr>
        <w:t>,</w:t>
      </w:r>
      <w:r w:rsidR="00A76C23" w:rsidRPr="00146864">
        <w:rPr>
          <w:lang w:val="en-GB"/>
        </w:rPr>
        <w:t xml:space="preserve"> Department of Surgical Sciences, Hedenstierna laborat</w:t>
      </w:r>
      <w:r w:rsidR="00A76C23" w:rsidRPr="00A76C23">
        <w:rPr>
          <w:lang w:val="en-GB"/>
        </w:rPr>
        <w:t>ory, Uppsala University, Sweden</w:t>
      </w:r>
    </w:p>
    <w:p w14:paraId="22C37F0D" w14:textId="2B90E108" w:rsidR="005D4D88" w:rsidRPr="00DF3EFF" w:rsidRDefault="00BE7F5E" w:rsidP="005D4D88">
      <w:pPr>
        <w:rPr>
          <w:lang w:val="en-GB"/>
        </w:rPr>
      </w:pPr>
      <w:r w:rsidRPr="00DF3EFF">
        <w:rPr>
          <w:vertAlign w:val="superscript"/>
          <w:lang w:val="en-GB"/>
        </w:rPr>
        <w:t>12</w:t>
      </w:r>
      <w:r w:rsidR="005D4D88" w:rsidRPr="00DF3EFF">
        <w:rPr>
          <w:lang w:val="en-GB"/>
        </w:rPr>
        <w:t xml:space="preserve"> Institute of Regional Health Research, The Faculty of Health Sciences, University of Southern Denmark, Odense, Denmark</w:t>
      </w:r>
    </w:p>
    <w:p w14:paraId="34BA73FC" w14:textId="77777777" w:rsidR="005D4D88" w:rsidRPr="00DF3EFF" w:rsidRDefault="005D4D88" w:rsidP="005D4D88">
      <w:pPr>
        <w:rPr>
          <w:lang w:val="en-GB"/>
        </w:rPr>
      </w:pPr>
    </w:p>
    <w:p w14:paraId="285850B4" w14:textId="77777777" w:rsidR="000923EA" w:rsidRPr="00363C2A" w:rsidRDefault="000923EA" w:rsidP="000923EA">
      <w:pPr>
        <w:rPr>
          <w:rFonts w:cs="Arial"/>
          <w:b/>
          <w:bCs/>
          <w:lang w:val="en-GB"/>
        </w:rPr>
      </w:pPr>
      <w:r w:rsidRPr="00363C2A">
        <w:rPr>
          <w:rFonts w:cs="Arial"/>
          <w:b/>
          <w:bCs/>
          <w:lang w:val="en-GB"/>
        </w:rPr>
        <w:t>Corresponding author:</w:t>
      </w:r>
    </w:p>
    <w:p w14:paraId="5F1CC375" w14:textId="77777777" w:rsidR="000923EA" w:rsidRPr="00363C2A" w:rsidRDefault="000923EA" w:rsidP="000923EA">
      <w:pPr>
        <w:rPr>
          <w:rFonts w:cs="Arial"/>
          <w:lang w:val="en-GB"/>
        </w:rPr>
      </w:pPr>
      <w:r w:rsidRPr="00363C2A">
        <w:rPr>
          <w:rFonts w:cs="Arial"/>
          <w:lang w:val="en-GB"/>
        </w:rPr>
        <w:t xml:space="preserve">Markus Harboe Olsen, Copenhagen Trial Unit, Centre for Clinical Intervention Research, The Capital Region, Copenhagen University Hospital </w:t>
      </w:r>
      <w:r w:rsidRPr="00363C2A">
        <w:rPr>
          <w:rFonts w:cs="Calibri"/>
          <w:lang w:val="en-GB"/>
        </w:rPr>
        <w:t>−</w:t>
      </w:r>
      <w:r w:rsidRPr="00363C2A">
        <w:rPr>
          <w:rFonts w:cs="Arial"/>
          <w:lang w:val="en-GB"/>
        </w:rPr>
        <w:t xml:space="preserve"> Rigshospitalet, Copenhagen, Denmark</w:t>
      </w:r>
    </w:p>
    <w:p w14:paraId="6D8356F0" w14:textId="77777777" w:rsidR="000923EA" w:rsidRPr="00363C2A" w:rsidRDefault="000923EA" w:rsidP="000923EA">
      <w:pPr>
        <w:rPr>
          <w:rFonts w:cs="Arial"/>
          <w:b/>
          <w:bCs/>
          <w:lang w:val="en-GB"/>
        </w:rPr>
      </w:pPr>
      <w:r w:rsidRPr="00363C2A">
        <w:rPr>
          <w:rFonts w:cs="Arial"/>
          <w:lang w:val="en-GB"/>
        </w:rPr>
        <w:t>Email: oel@oelfam.com; Ph.: +45 27 38 37 82</w:t>
      </w:r>
    </w:p>
    <w:p w14:paraId="27A363AC" w14:textId="77777777" w:rsidR="001336C6" w:rsidRPr="00DF3EFF" w:rsidRDefault="001336C6">
      <w:pPr>
        <w:spacing w:line="240" w:lineRule="auto"/>
        <w:rPr>
          <w:rFonts w:eastAsiaTheme="majorEastAsia" w:cs="Times New Roman"/>
          <w:b/>
          <w:sz w:val="32"/>
          <w:lang w:val="en-GB"/>
        </w:rPr>
      </w:pPr>
      <w:bookmarkStart w:id="0" w:name="_Toc104538906"/>
      <w:bookmarkStart w:id="1" w:name="_Toc104540045"/>
      <w:r w:rsidRPr="00363C2A">
        <w:rPr>
          <w:lang w:val="en-GB"/>
        </w:rPr>
        <w:br w:type="page"/>
      </w:r>
    </w:p>
    <w:bookmarkEnd w:id="0"/>
    <w:bookmarkEnd w:id="1"/>
    <w:p w14:paraId="5BEA6BD4" w14:textId="7E2ECC7A" w:rsidR="00785CEE" w:rsidRPr="00DF3EFF" w:rsidRDefault="003B7F64" w:rsidP="00225D0F">
      <w:pPr>
        <w:pStyle w:val="Overskrift1"/>
      </w:pPr>
      <w:r w:rsidRPr="00DF3EFF">
        <w:lastRenderedPageBreak/>
        <w:t>Introduction</w:t>
      </w:r>
    </w:p>
    <w:p w14:paraId="3A21284B" w14:textId="55993D90" w:rsidR="00A41E11" w:rsidRPr="00DF3EFF" w:rsidRDefault="00D71166" w:rsidP="003B7F64">
      <w:pPr>
        <w:rPr>
          <w:lang w:val="en-GB"/>
        </w:rPr>
      </w:pPr>
      <w:r w:rsidRPr="00DF3EFF">
        <w:rPr>
          <w:lang w:val="en-GB"/>
        </w:rPr>
        <w:t>Septic shock is a sub</w:t>
      </w:r>
      <w:r w:rsidR="00B2573E" w:rsidRPr="00DF3EFF">
        <w:rPr>
          <w:lang w:val="en-GB"/>
        </w:rPr>
        <w:t>type</w:t>
      </w:r>
      <w:r w:rsidRPr="00DF3EFF">
        <w:rPr>
          <w:lang w:val="en-GB"/>
        </w:rPr>
        <w:t xml:space="preserve"> of sepsis with particularly severe circulatory and metabolic abnormalities and a 90-day mortality of 40-50% (Hjortrup 2016, Perner 2012, Shankar Hari 2016, Hernandez 2019, Holst 2014). Administration of fluids is an essential component of the care of patients suffering from septic shock</w:t>
      </w:r>
      <w:r w:rsidR="0083013F" w:rsidRPr="00DF3EFF">
        <w:rPr>
          <w:lang w:val="en-GB"/>
        </w:rPr>
        <w:t xml:space="preserve"> </w:t>
      </w:r>
      <w:r w:rsidR="00363C2A">
        <w:rPr>
          <w:lang w:val="en-GB"/>
        </w:rPr>
        <w:t>but</w:t>
      </w:r>
      <w:r w:rsidR="0083013F" w:rsidRPr="00DF3EFF">
        <w:rPr>
          <w:lang w:val="en-GB"/>
        </w:rPr>
        <w:t xml:space="preserve"> f</w:t>
      </w:r>
      <w:r w:rsidRPr="00DF3EFF">
        <w:rPr>
          <w:lang w:val="en-GB"/>
        </w:rPr>
        <w:t xml:space="preserve">luids are administered for different reasons. Resuscitation fluids are administered intravenously to ensure adequate tissue perfusion and oxygenation whereas non-resuscitation fluids are administered intravenously and enterally as vehicles for medications and nutrition, to correct electrolyte disturbances, to replace </w:t>
      </w:r>
      <w:r w:rsidRPr="00363C2A">
        <w:rPr>
          <w:lang w:val="en-GB"/>
        </w:rPr>
        <w:t xml:space="preserve">pathophysiological losses, and </w:t>
      </w:r>
      <w:r w:rsidRPr="00DF3EFF">
        <w:rPr>
          <w:lang w:val="en-GB"/>
        </w:rPr>
        <w:t xml:space="preserve">to ensure adequate hydration (maintenance fluids). More than 50% of patients with septic shock receive a total of four litres </w:t>
      </w:r>
      <w:r w:rsidR="00363C2A" w:rsidRPr="00DF3EFF">
        <w:rPr>
          <w:lang w:val="en-GB"/>
        </w:rPr>
        <w:t xml:space="preserve">or more </w:t>
      </w:r>
      <w:r w:rsidRPr="00DF3EFF">
        <w:rPr>
          <w:lang w:val="en-GB"/>
        </w:rPr>
        <w:t>during the first day in the ICU (Marik 2017) and non-randomised studies have indicated that fluids in large volumes might have detrimental adverse effects (Boyd 2011, Payen 200</w:t>
      </w:r>
      <w:r w:rsidR="00A41E11" w:rsidRPr="00DF3EFF">
        <w:rPr>
          <w:lang w:val="en-GB"/>
        </w:rPr>
        <w:t>8, Silversides 2018, Sakr 2017)</w:t>
      </w:r>
      <w:r w:rsidR="00B2573E" w:rsidRPr="00DF3EFF">
        <w:rPr>
          <w:lang w:val="en-GB"/>
        </w:rPr>
        <w:t>. Therefore</w:t>
      </w:r>
      <w:r w:rsidR="00363C2A">
        <w:rPr>
          <w:lang w:val="en-GB"/>
        </w:rPr>
        <w:t>,</w:t>
      </w:r>
      <w:r w:rsidR="00A442CC" w:rsidRPr="00DF3EFF">
        <w:rPr>
          <w:lang w:val="en-GB"/>
        </w:rPr>
        <w:t xml:space="preserve"> o</w:t>
      </w:r>
      <w:r w:rsidR="00A41E11" w:rsidRPr="00DF3EFF">
        <w:rPr>
          <w:lang w:val="en-GB"/>
        </w:rPr>
        <w:t>ptimizing fluid therapy</w:t>
      </w:r>
      <w:r w:rsidR="00A442CC" w:rsidRPr="00DF3EFF">
        <w:rPr>
          <w:lang w:val="en-GB"/>
        </w:rPr>
        <w:t xml:space="preserve"> may improve patient outcomes.</w:t>
      </w:r>
      <w:r w:rsidR="00A41E11" w:rsidRPr="00DF3EFF">
        <w:rPr>
          <w:lang w:val="en-GB"/>
        </w:rPr>
        <w:t xml:space="preserve"> </w:t>
      </w:r>
    </w:p>
    <w:p w14:paraId="7DB0D651" w14:textId="77777777" w:rsidR="00A41E11" w:rsidRPr="00DF3EFF" w:rsidRDefault="00A41E11" w:rsidP="003B7F64">
      <w:pPr>
        <w:rPr>
          <w:lang w:val="en-GB"/>
        </w:rPr>
      </w:pPr>
    </w:p>
    <w:p w14:paraId="12D39754" w14:textId="2CBCBC60" w:rsidR="00A41E11" w:rsidRPr="00DF3EFF" w:rsidRDefault="00A41E11" w:rsidP="00A41E11">
      <w:pPr>
        <w:rPr>
          <w:lang w:val="en-GB"/>
        </w:rPr>
      </w:pPr>
      <w:r w:rsidRPr="00DF3EFF">
        <w:rPr>
          <w:lang w:val="en-GB"/>
        </w:rPr>
        <w:t xml:space="preserve">In septic shock, similar volumes of resuscitation- and non-resuscitation fluids are administered </w:t>
      </w:r>
      <w:r w:rsidR="00B2573E" w:rsidRPr="00DF3EFF">
        <w:rPr>
          <w:lang w:val="en-GB"/>
        </w:rPr>
        <w:t xml:space="preserve">during </w:t>
      </w:r>
      <w:r w:rsidRPr="00DF3EFF">
        <w:rPr>
          <w:lang w:val="en-GB"/>
        </w:rPr>
        <w:t>the first day in the ICU whereas non-resuscitation fluid</w:t>
      </w:r>
      <w:r w:rsidR="00B2573E" w:rsidRPr="00DF3EFF">
        <w:rPr>
          <w:lang w:val="en-GB"/>
        </w:rPr>
        <w:t>s</w:t>
      </w:r>
      <w:r w:rsidRPr="00DF3EFF">
        <w:rPr>
          <w:lang w:val="en-GB"/>
        </w:rPr>
        <w:t xml:space="preserve"> dominate thereafter (Hjortrup 2016, Lindén-Søndersø 2019). Modelling based on a recent survey of administration of non-resuscitation fluids indicates that the volume of non-resuscitation fluids may be reduced by about 3 litres in the first days of admission in patients </w:t>
      </w:r>
      <w:r w:rsidR="00934585" w:rsidRPr="00DF3EFF">
        <w:rPr>
          <w:lang w:val="en-GB"/>
        </w:rPr>
        <w:t xml:space="preserve">with </w:t>
      </w:r>
      <w:r w:rsidRPr="00DF3EFF">
        <w:rPr>
          <w:lang w:val="en-GB"/>
        </w:rPr>
        <w:t>septic shock (Lindén-Søndersø, 2019). Such a reduction might have an impact on</w:t>
      </w:r>
      <w:r w:rsidR="00201E41">
        <w:rPr>
          <w:lang w:val="en-GB"/>
        </w:rPr>
        <w:t xml:space="preserve"> mortality</w:t>
      </w:r>
      <w:r w:rsidRPr="00DF3EFF">
        <w:rPr>
          <w:lang w:val="en-GB"/>
        </w:rPr>
        <w:t xml:space="preserve"> (Silversides 2018). Moreover, this reduction in fluid volume is </w:t>
      </w:r>
      <w:r w:rsidR="00F85B98">
        <w:rPr>
          <w:lang w:val="en-GB"/>
        </w:rPr>
        <w:t>at least</w:t>
      </w:r>
      <w:r w:rsidR="004E5C2C">
        <w:rPr>
          <w:lang w:val="en-GB"/>
        </w:rPr>
        <w:t xml:space="preserve"> 1L higher than</w:t>
      </w:r>
      <w:r w:rsidRPr="00DF3EFF">
        <w:rPr>
          <w:lang w:val="en-GB"/>
        </w:rPr>
        <w:t xml:space="preserve"> the most effective protocols targeting restriction of resuscitation fluids</w:t>
      </w:r>
      <w:r w:rsidR="00F85B98">
        <w:rPr>
          <w:lang w:val="en-GB"/>
        </w:rPr>
        <w:t xml:space="preserve"> to date</w:t>
      </w:r>
      <w:r w:rsidRPr="00DF3EFF">
        <w:rPr>
          <w:lang w:val="en-GB"/>
        </w:rPr>
        <w:t xml:space="preserve"> (Douglas 2020, Hjortrup 2016</w:t>
      </w:r>
      <w:r w:rsidR="00A26105">
        <w:rPr>
          <w:lang w:val="en-GB"/>
        </w:rPr>
        <w:t xml:space="preserve">, </w:t>
      </w:r>
      <w:r w:rsidR="00652290">
        <w:rPr>
          <w:lang w:val="en-GB"/>
        </w:rPr>
        <w:t>Meyhoff 2022</w:t>
      </w:r>
      <w:r w:rsidRPr="00DF3EFF">
        <w:rPr>
          <w:lang w:val="en-GB"/>
        </w:rPr>
        <w:t xml:space="preserve">). </w:t>
      </w:r>
      <w:r w:rsidR="00F85B98">
        <w:rPr>
          <w:lang w:val="en-GB"/>
        </w:rPr>
        <w:t xml:space="preserve"> N</w:t>
      </w:r>
      <w:r w:rsidRPr="00DF3EFF">
        <w:rPr>
          <w:lang w:val="en-GB"/>
        </w:rPr>
        <w:t>o trial has evaluated a protocolised restrictive administration of non-resuscitation fluids in patients with septic shock. The balance</w:t>
      </w:r>
      <w:r w:rsidR="000C6756" w:rsidRPr="00DF3EFF">
        <w:rPr>
          <w:lang w:val="en-GB"/>
        </w:rPr>
        <w:t xml:space="preserve"> </w:t>
      </w:r>
      <w:r w:rsidRPr="00DF3EFF">
        <w:rPr>
          <w:lang w:val="en-GB"/>
        </w:rPr>
        <w:t>between benefit and harm when reducing resuscitation fluids may be different than the balance when reducing non-resuscitation fluids. A randomised clinical trial assessing the effects of a protocolised restrictive administration of non-resuscitation fluids in patients with septic shock is therefore important regardless of the results of the trials comparing restrictive and less restrictive approaches to administration of either resuscitation fluids alone or both resuscitation fluids and non-resuscitation fluids.</w:t>
      </w:r>
    </w:p>
    <w:p w14:paraId="1464AF45" w14:textId="64677036" w:rsidR="00251C16" w:rsidRPr="00F85B98" w:rsidRDefault="00251C16" w:rsidP="003B7F64">
      <w:pPr>
        <w:rPr>
          <w:lang w:val="en-GB"/>
        </w:rPr>
      </w:pPr>
    </w:p>
    <w:p w14:paraId="59FF00FA" w14:textId="77777777" w:rsidR="00A41E11" w:rsidRPr="00DF3EFF" w:rsidRDefault="00A41E11" w:rsidP="003B7F64">
      <w:pPr>
        <w:rPr>
          <w:lang w:val="en-GB"/>
        </w:rPr>
      </w:pPr>
    </w:p>
    <w:p w14:paraId="49647818" w14:textId="7EE748DF" w:rsidR="00CC1BB2" w:rsidRPr="00DF3EFF" w:rsidRDefault="00CC1BB2" w:rsidP="003B7F64">
      <w:pPr>
        <w:rPr>
          <w:lang w:val="en-GB"/>
        </w:rPr>
      </w:pPr>
      <w:r w:rsidRPr="00DF3EFF">
        <w:rPr>
          <w:lang w:val="en-GB"/>
        </w:rPr>
        <w:t>The objective</w:t>
      </w:r>
      <w:r w:rsidR="00DA37E7" w:rsidRPr="00DF3EFF">
        <w:rPr>
          <w:lang w:val="en-GB"/>
        </w:rPr>
        <w:t xml:space="preserve"> of</w:t>
      </w:r>
      <w:r w:rsidRPr="00DF3EFF">
        <w:rPr>
          <w:lang w:val="en-GB"/>
        </w:rPr>
        <w:t xml:space="preserve"> th</w:t>
      </w:r>
      <w:r w:rsidR="00DA37E7" w:rsidRPr="00DF3EFF">
        <w:rPr>
          <w:lang w:val="en-GB"/>
        </w:rPr>
        <w:t>is</w:t>
      </w:r>
      <w:r w:rsidRPr="00DF3EFF">
        <w:rPr>
          <w:lang w:val="en-GB"/>
        </w:rPr>
        <w:t xml:space="preserve"> </w:t>
      </w:r>
      <w:r w:rsidR="00346F9A" w:rsidRPr="00DF3EFF">
        <w:rPr>
          <w:lang w:val="en-GB"/>
        </w:rPr>
        <w:t xml:space="preserve">trial </w:t>
      </w:r>
      <w:r w:rsidR="0088514E" w:rsidRPr="00DF3EFF">
        <w:rPr>
          <w:lang w:val="en-GB"/>
        </w:rPr>
        <w:t>is</w:t>
      </w:r>
      <w:r w:rsidR="00346F9A" w:rsidRPr="00DF3EFF">
        <w:rPr>
          <w:lang w:val="en-GB"/>
        </w:rPr>
        <w:t xml:space="preserve"> </w:t>
      </w:r>
      <w:r w:rsidR="00D25F7F" w:rsidRPr="00DF3EFF">
        <w:rPr>
          <w:lang w:val="en-GB"/>
        </w:rPr>
        <w:t xml:space="preserve">to </w:t>
      </w:r>
      <w:r w:rsidR="00346F9A" w:rsidRPr="00DF3EFF">
        <w:rPr>
          <w:lang w:val="en-GB"/>
        </w:rPr>
        <w:t>assess the feasib</w:t>
      </w:r>
      <w:r w:rsidR="00430619" w:rsidRPr="00DF3EFF">
        <w:rPr>
          <w:lang w:val="en-GB"/>
        </w:rPr>
        <w:t>i</w:t>
      </w:r>
      <w:r w:rsidR="00346F9A" w:rsidRPr="00DF3EFF">
        <w:rPr>
          <w:lang w:val="en-GB"/>
        </w:rPr>
        <w:t xml:space="preserve">lity </w:t>
      </w:r>
      <w:r w:rsidRPr="00DF3EFF">
        <w:rPr>
          <w:lang w:val="en-GB"/>
        </w:rPr>
        <w:t>of</w:t>
      </w:r>
      <w:r w:rsidR="00F85B98">
        <w:rPr>
          <w:lang w:val="en-GB"/>
        </w:rPr>
        <w:t xml:space="preserve"> a trial</w:t>
      </w:r>
      <w:r w:rsidRPr="00DF3EFF">
        <w:rPr>
          <w:lang w:val="en-GB"/>
        </w:rPr>
        <w:t xml:space="preserve"> </w:t>
      </w:r>
      <w:r w:rsidR="005F61FC" w:rsidRPr="00DF3EFF">
        <w:rPr>
          <w:lang w:val="en-GB"/>
        </w:rPr>
        <w:t>compar</w:t>
      </w:r>
      <w:r w:rsidR="00DB50F5" w:rsidRPr="00DF3EFF">
        <w:rPr>
          <w:lang w:val="en-GB"/>
        </w:rPr>
        <w:t xml:space="preserve">ing </w:t>
      </w:r>
      <w:r w:rsidR="005F61FC" w:rsidRPr="00DF3EFF">
        <w:rPr>
          <w:lang w:val="en-GB"/>
        </w:rPr>
        <w:t>a</w:t>
      </w:r>
      <w:r w:rsidR="0088514E" w:rsidRPr="00DF3EFF">
        <w:rPr>
          <w:lang w:val="en-GB"/>
        </w:rPr>
        <w:t xml:space="preserve"> protocolised</w:t>
      </w:r>
      <w:r w:rsidR="005F61FC" w:rsidRPr="00DF3EFF">
        <w:rPr>
          <w:lang w:val="en-GB"/>
        </w:rPr>
        <w:t xml:space="preserve"> </w:t>
      </w:r>
      <w:r w:rsidRPr="00DF3EFF">
        <w:rPr>
          <w:lang w:val="en-GB"/>
        </w:rPr>
        <w:t>reduc</w:t>
      </w:r>
      <w:r w:rsidR="005F61FC" w:rsidRPr="00DF3EFF">
        <w:rPr>
          <w:lang w:val="en-GB"/>
        </w:rPr>
        <w:t>tion</w:t>
      </w:r>
      <w:r w:rsidRPr="00DF3EFF">
        <w:rPr>
          <w:lang w:val="en-GB"/>
        </w:rPr>
        <w:t xml:space="preserve"> </w:t>
      </w:r>
      <w:r w:rsidR="0088514E" w:rsidRPr="00DF3EFF">
        <w:rPr>
          <w:lang w:val="en-GB"/>
        </w:rPr>
        <w:t>in administration of</w:t>
      </w:r>
      <w:r w:rsidRPr="00DF3EFF">
        <w:rPr>
          <w:lang w:val="en-GB"/>
        </w:rPr>
        <w:t xml:space="preserve"> non-resuscitation fluids to </w:t>
      </w:r>
      <w:r w:rsidR="005F61FC" w:rsidRPr="00DF3EFF">
        <w:rPr>
          <w:lang w:val="en-GB"/>
        </w:rPr>
        <w:t xml:space="preserve">usual care in </w:t>
      </w:r>
      <w:r w:rsidRPr="00DF3EFF">
        <w:rPr>
          <w:lang w:val="en-GB"/>
        </w:rPr>
        <w:t>patients with septic shock.</w:t>
      </w:r>
      <w:r w:rsidR="0086316A">
        <w:rPr>
          <w:lang w:val="en-GB"/>
        </w:rPr>
        <w:t xml:space="preserve"> Below we will des</w:t>
      </w:r>
      <w:r w:rsidR="00C62ABF">
        <w:rPr>
          <w:lang w:val="en-GB"/>
        </w:rPr>
        <w:t>cribe the</w:t>
      </w:r>
      <w:r w:rsidR="0086316A">
        <w:rPr>
          <w:lang w:val="en-GB"/>
        </w:rPr>
        <w:t xml:space="preserve"> statistical analysis plan for this feasibility trial. </w:t>
      </w:r>
    </w:p>
    <w:p w14:paraId="60592594" w14:textId="77777777" w:rsidR="003B0F5F" w:rsidRPr="00DF3EFF" w:rsidRDefault="003B0F5F">
      <w:pPr>
        <w:spacing w:line="240" w:lineRule="auto"/>
        <w:rPr>
          <w:rFonts w:eastAsiaTheme="majorEastAsia" w:cs="Times New Roman"/>
          <w:b/>
          <w:sz w:val="32"/>
          <w:lang w:val="en-GB"/>
        </w:rPr>
      </w:pPr>
      <w:r w:rsidRPr="00F85B98">
        <w:rPr>
          <w:lang w:val="en-GB"/>
        </w:rPr>
        <w:br w:type="page"/>
      </w:r>
    </w:p>
    <w:p w14:paraId="37B4E16E" w14:textId="76935DF6" w:rsidR="003B0F5F" w:rsidRPr="00DF3EFF" w:rsidRDefault="003B0F5F" w:rsidP="00225D0F">
      <w:pPr>
        <w:pStyle w:val="Overskrift1"/>
      </w:pPr>
      <w:r w:rsidRPr="00DF3EFF">
        <w:lastRenderedPageBreak/>
        <w:t>Methods</w:t>
      </w:r>
    </w:p>
    <w:p w14:paraId="433B0AB8" w14:textId="68DD61F5" w:rsidR="003B0F5F" w:rsidRPr="00F85B98" w:rsidRDefault="003B0F5F" w:rsidP="003B0F5F">
      <w:pPr>
        <w:autoSpaceDE w:val="0"/>
        <w:autoSpaceDN w:val="0"/>
        <w:adjustRightInd w:val="0"/>
        <w:rPr>
          <w:lang w:val="en-GB"/>
        </w:rPr>
      </w:pPr>
      <w:r w:rsidRPr="00DF3EFF">
        <w:rPr>
          <w:lang w:val="en-GB"/>
        </w:rPr>
        <w:t>The REDUSE trial is a multicentre, investigator</w:t>
      </w:r>
      <w:r w:rsidR="00B2573E" w:rsidRPr="00DF3EFF">
        <w:rPr>
          <w:lang w:val="en-GB"/>
        </w:rPr>
        <w:t>-</w:t>
      </w:r>
      <w:r w:rsidRPr="00DF3EFF">
        <w:rPr>
          <w:lang w:val="en-GB"/>
        </w:rPr>
        <w:t xml:space="preserve">initiated, randomised clinical superiority trial comparing </w:t>
      </w:r>
      <w:r w:rsidR="00B634A9" w:rsidRPr="00DF3EFF">
        <w:rPr>
          <w:lang w:val="en-GB"/>
        </w:rPr>
        <w:t xml:space="preserve">a </w:t>
      </w:r>
      <w:r w:rsidRPr="00DF3EFF">
        <w:rPr>
          <w:lang w:val="en-GB"/>
        </w:rPr>
        <w:t>protocolised restrictive strategy for administration of non-resuscitation fluids with usual care in participants with septic shock.</w:t>
      </w:r>
      <w:r w:rsidRPr="00F85B98">
        <w:rPr>
          <w:lang w:val="en-GB"/>
        </w:rPr>
        <w:t xml:space="preserve"> The trial methodology and design has been described in detail elsewhere</w:t>
      </w:r>
      <w:r w:rsidR="00CA3060" w:rsidRPr="00F85B98">
        <w:rPr>
          <w:lang w:val="en-GB"/>
        </w:rPr>
        <w:t xml:space="preserve"> [Lind</w:t>
      </w:r>
      <w:r w:rsidR="00B634A9" w:rsidRPr="00F85B98">
        <w:rPr>
          <w:lang w:val="en-GB"/>
        </w:rPr>
        <w:t>é</w:t>
      </w:r>
      <w:r w:rsidR="00CA3060" w:rsidRPr="00F85B98">
        <w:rPr>
          <w:lang w:val="en-GB"/>
        </w:rPr>
        <w:t>n Submitted</w:t>
      </w:r>
      <w:r w:rsidR="00146864">
        <w:rPr>
          <w:lang w:val="en-GB"/>
        </w:rPr>
        <w:t xml:space="preserve"> 22-06-06</w:t>
      </w:r>
      <w:r w:rsidR="00CA3060" w:rsidRPr="00F85B98">
        <w:rPr>
          <w:lang w:val="en-GB"/>
        </w:rPr>
        <w:t>]</w:t>
      </w:r>
      <w:r w:rsidR="00887514" w:rsidRPr="00F85B98">
        <w:rPr>
          <w:lang w:val="en-GB"/>
        </w:rPr>
        <w:t>.</w:t>
      </w:r>
      <w:r w:rsidRPr="00F85B98">
        <w:rPr>
          <w:lang w:val="en-GB"/>
        </w:rPr>
        <w:t xml:space="preserve"> </w:t>
      </w:r>
      <w:r w:rsidR="00FD38C0" w:rsidRPr="00F85B98">
        <w:rPr>
          <w:lang w:val="en-GB"/>
        </w:rPr>
        <w:t>In short</w:t>
      </w:r>
      <w:r w:rsidRPr="00F85B98">
        <w:rPr>
          <w:lang w:val="en-GB"/>
        </w:rPr>
        <w:t xml:space="preserve">, </w:t>
      </w:r>
      <w:r w:rsidRPr="00DF3EFF">
        <w:rPr>
          <w:lang w:val="en-GB"/>
        </w:rPr>
        <w:t xml:space="preserve">adult patients with septic shock will be eligible for inclusion. Participants will be randomised within 12 hours of admission to the intensive care unit. </w:t>
      </w:r>
      <w:r w:rsidRPr="00F85B98">
        <w:rPr>
          <w:lang w:val="en-GB"/>
        </w:rPr>
        <w:t>The trial was registered on ClinicalTrials.gov (identification n</w:t>
      </w:r>
      <w:r w:rsidR="00CC0D03" w:rsidRPr="00F85B98">
        <w:rPr>
          <w:lang w:val="en-GB"/>
        </w:rPr>
        <w:t>umber</w:t>
      </w:r>
      <w:r w:rsidR="00167F49" w:rsidRPr="00F85B98">
        <w:rPr>
          <w:lang w:val="en-GB"/>
        </w:rPr>
        <w:t xml:space="preserve"> NCT05249088)</w:t>
      </w:r>
      <w:r w:rsidRPr="00F85B98">
        <w:rPr>
          <w:lang w:val="en-GB"/>
        </w:rPr>
        <w:t xml:space="preserve"> before inclusion of the first participant. Patients are eligible if they comply with the inclusion and exclusion criteria below.</w:t>
      </w:r>
    </w:p>
    <w:p w14:paraId="54B23322" w14:textId="13AB8EEA" w:rsidR="003B0F5F" w:rsidRPr="00DF3EFF" w:rsidRDefault="003B0F5F" w:rsidP="009D6969">
      <w:pPr>
        <w:pStyle w:val="Overskrift3"/>
      </w:pPr>
      <w:bookmarkStart w:id="2" w:name="_Toc104540057"/>
      <w:r w:rsidRPr="00DF3EFF">
        <w:t>Inclusion criteria</w:t>
      </w:r>
      <w:bookmarkEnd w:id="2"/>
    </w:p>
    <w:p w14:paraId="53608015" w14:textId="77777777" w:rsidR="003B0F5F" w:rsidRPr="00DF3EFF" w:rsidRDefault="003B0F5F" w:rsidP="004A25B7">
      <w:pPr>
        <w:pStyle w:val="Listeafsnit"/>
        <w:numPr>
          <w:ilvl w:val="0"/>
          <w:numId w:val="1"/>
        </w:numPr>
        <w:rPr>
          <w:lang w:val="en-GB"/>
        </w:rPr>
      </w:pPr>
      <w:r w:rsidRPr="00DF3EFF">
        <w:rPr>
          <w:rFonts w:cs="Times New Roman"/>
          <w:color w:val="000000" w:themeColor="text1"/>
          <w:lang w:val="en-GB"/>
        </w:rPr>
        <w:t xml:space="preserve">Adult (≥ 18 years of age) </w:t>
      </w:r>
    </w:p>
    <w:p w14:paraId="381E9293" w14:textId="77777777" w:rsidR="003B0F5F" w:rsidRPr="00DF3EFF" w:rsidRDefault="003B0F5F" w:rsidP="004A25B7">
      <w:pPr>
        <w:pStyle w:val="Listeafsnit"/>
        <w:numPr>
          <w:ilvl w:val="0"/>
          <w:numId w:val="1"/>
        </w:numPr>
        <w:rPr>
          <w:lang w:val="en-GB"/>
        </w:rPr>
      </w:pPr>
      <w:r w:rsidRPr="00DF3EFF">
        <w:rPr>
          <w:lang w:val="en-GB"/>
        </w:rPr>
        <w:t>Septic shock according to Sepsis-3 criteria while in the ICU (Singer 2016)</w:t>
      </w:r>
    </w:p>
    <w:p w14:paraId="07E9EF4B" w14:textId="77777777" w:rsidR="003B0F5F" w:rsidRPr="00DF3EFF" w:rsidRDefault="003B0F5F" w:rsidP="004A25B7">
      <w:pPr>
        <w:pStyle w:val="Listeafsnit"/>
        <w:numPr>
          <w:ilvl w:val="0"/>
          <w:numId w:val="1"/>
        </w:numPr>
        <w:rPr>
          <w:lang w:val="en-GB"/>
        </w:rPr>
      </w:pPr>
      <w:r w:rsidRPr="00DF3EFF">
        <w:rPr>
          <w:lang w:val="en-GB"/>
        </w:rPr>
        <w:t xml:space="preserve">Ongoing vasopressor treatment   </w:t>
      </w:r>
    </w:p>
    <w:p w14:paraId="348DB436" w14:textId="0AB004B0" w:rsidR="003B0F5F" w:rsidRPr="00DF3EFF" w:rsidRDefault="003B0F5F" w:rsidP="004A25B7">
      <w:pPr>
        <w:pStyle w:val="Listeafsnit"/>
        <w:numPr>
          <w:ilvl w:val="0"/>
          <w:numId w:val="1"/>
        </w:numPr>
        <w:rPr>
          <w:lang w:val="en-GB"/>
        </w:rPr>
      </w:pPr>
      <w:r w:rsidRPr="00DF3EFF">
        <w:rPr>
          <w:lang w:val="en-GB"/>
        </w:rPr>
        <w:t>Inclusion within 12 hours of ICU admission</w:t>
      </w:r>
    </w:p>
    <w:p w14:paraId="1DB07F19" w14:textId="4F149D5A" w:rsidR="00FD38C0" w:rsidRPr="00DF3EFF" w:rsidRDefault="00FD38C0" w:rsidP="004A25B7">
      <w:pPr>
        <w:pStyle w:val="Listeafsnit"/>
        <w:numPr>
          <w:ilvl w:val="0"/>
          <w:numId w:val="1"/>
        </w:numPr>
        <w:rPr>
          <w:lang w:val="en-GB"/>
        </w:rPr>
      </w:pPr>
      <w:r w:rsidRPr="00DF3EFF">
        <w:rPr>
          <w:lang w:val="en-GB"/>
        </w:rPr>
        <w:t>Informed consent</w:t>
      </w:r>
    </w:p>
    <w:p w14:paraId="3BBA2EC3" w14:textId="37966F17" w:rsidR="003B0F5F" w:rsidRPr="00DF3EFF" w:rsidRDefault="003B0F5F" w:rsidP="009D6969">
      <w:pPr>
        <w:pStyle w:val="Overskrift3"/>
      </w:pPr>
      <w:bookmarkStart w:id="3" w:name="_Toc104540058"/>
      <w:r w:rsidRPr="00DF3EFF">
        <w:t xml:space="preserve">Exclusion </w:t>
      </w:r>
      <w:r w:rsidR="00C14E06" w:rsidRPr="00DF3EFF">
        <w:t>c</w:t>
      </w:r>
      <w:r w:rsidRPr="00DF3EFF">
        <w:t>riteria</w:t>
      </w:r>
      <w:bookmarkEnd w:id="3"/>
    </w:p>
    <w:p w14:paraId="70A0BC3D" w14:textId="77777777" w:rsidR="003B0F5F" w:rsidRPr="00DF3EFF" w:rsidRDefault="003B0F5F" w:rsidP="004A25B7">
      <w:pPr>
        <w:pStyle w:val="Listeafsnit"/>
        <w:numPr>
          <w:ilvl w:val="0"/>
          <w:numId w:val="2"/>
        </w:numPr>
        <w:rPr>
          <w:rFonts w:cs="Times New Roman"/>
          <w:color w:val="000000" w:themeColor="text1"/>
          <w:lang w:val="en-GB"/>
        </w:rPr>
      </w:pPr>
      <w:r w:rsidRPr="00DF3EFF">
        <w:rPr>
          <w:rFonts w:cs="Times New Roman"/>
          <w:color w:val="000000" w:themeColor="text1"/>
          <w:lang w:val="en-GB"/>
        </w:rPr>
        <w:t xml:space="preserve">Confirmed or suspected pregnancy </w:t>
      </w:r>
    </w:p>
    <w:p w14:paraId="61626259" w14:textId="77777777" w:rsidR="003B0F5F" w:rsidRPr="00DF3EFF" w:rsidRDefault="003B0F5F" w:rsidP="003B0F5F">
      <w:pPr>
        <w:rPr>
          <w:rFonts w:cs="Times New Roman"/>
          <w:color w:val="000000" w:themeColor="text1"/>
          <w:lang w:val="en-GB"/>
        </w:rPr>
      </w:pPr>
    </w:p>
    <w:p w14:paraId="1663E9A5" w14:textId="453168C4" w:rsidR="003B0F5F" w:rsidRPr="00DF3EFF" w:rsidRDefault="003B0F5F" w:rsidP="003B0F5F">
      <w:pPr>
        <w:rPr>
          <w:rFonts w:cs="Times New Roman"/>
          <w:color w:val="000000" w:themeColor="text1"/>
          <w:lang w:val="en-GB"/>
        </w:rPr>
      </w:pPr>
      <w:r w:rsidRPr="00DF3EFF">
        <w:rPr>
          <w:rFonts w:cs="Times New Roman"/>
          <w:color w:val="000000" w:themeColor="text1"/>
          <w:lang w:val="en-GB"/>
        </w:rPr>
        <w:t>Pa</w:t>
      </w:r>
      <w:r w:rsidRPr="00DF3EFF">
        <w:rPr>
          <w:rFonts w:cs="Arial"/>
          <w:lang w:val="en-GB"/>
        </w:rPr>
        <w:t>rticipant</w:t>
      </w:r>
      <w:r w:rsidRPr="00DF3EFF">
        <w:rPr>
          <w:rFonts w:cs="Times New Roman"/>
          <w:color w:val="000000" w:themeColor="text1"/>
          <w:lang w:val="en-GB"/>
        </w:rPr>
        <w:t>s readmitted to the ICU during</w:t>
      </w:r>
      <w:r w:rsidR="00244D2D">
        <w:rPr>
          <w:rFonts w:cs="Times New Roman"/>
          <w:color w:val="000000" w:themeColor="text1"/>
          <w:lang w:val="en-GB"/>
        </w:rPr>
        <w:t xml:space="preserve"> within 90-days of inclusion</w:t>
      </w:r>
      <w:r w:rsidRPr="00DF3EFF">
        <w:rPr>
          <w:rFonts w:cs="Times New Roman"/>
          <w:color w:val="000000" w:themeColor="text1"/>
          <w:lang w:val="en-GB"/>
        </w:rPr>
        <w:t xml:space="preserve"> will be allocated to the same intervention arm regardless of diagnosis. </w:t>
      </w:r>
    </w:p>
    <w:p w14:paraId="1F9434AA" w14:textId="77777777" w:rsidR="001243D6" w:rsidRPr="00DF3EFF" w:rsidRDefault="001243D6" w:rsidP="00225D0F">
      <w:pPr>
        <w:pStyle w:val="Overskrift2"/>
      </w:pPr>
    </w:p>
    <w:p w14:paraId="080CB0B9" w14:textId="4AEC9AF5" w:rsidR="00C14E06" w:rsidRPr="00DF3EFF" w:rsidRDefault="00C14E06" w:rsidP="00225D0F">
      <w:pPr>
        <w:pStyle w:val="Overskrift2"/>
      </w:pPr>
      <w:r w:rsidRPr="00DF3EFF">
        <w:t>Screening and randomisation</w:t>
      </w:r>
    </w:p>
    <w:p w14:paraId="0D306D3C" w14:textId="26E8FE13" w:rsidR="00C14E06" w:rsidRPr="00CE418C" w:rsidRDefault="00C14E06" w:rsidP="00C14E06">
      <w:pPr>
        <w:rPr>
          <w:lang w:val="en-GB"/>
        </w:rPr>
      </w:pPr>
      <w:r w:rsidRPr="00DF3EFF">
        <w:rPr>
          <w:rFonts w:cs="Times New Roman"/>
          <w:color w:val="000000" w:themeColor="text1"/>
          <w:lang w:val="en-GB"/>
        </w:rPr>
        <w:t>Clinical investigators at each participating ICU will be responsible for screening of all admitted patients with a diagnosis of septic shock within a screening window of 12 hours from ICU admission. A screening log will be compiled and include all patients with an admission diagnosis of septic shock</w:t>
      </w:r>
      <w:r w:rsidR="00CC0D03" w:rsidRPr="00DF3EFF">
        <w:rPr>
          <w:rFonts w:cs="Times New Roman"/>
          <w:color w:val="000000" w:themeColor="text1"/>
          <w:lang w:val="en-GB"/>
        </w:rPr>
        <w:t>,</w:t>
      </w:r>
      <w:r w:rsidRPr="00DF3EFF">
        <w:rPr>
          <w:rFonts w:cs="Times New Roman"/>
          <w:color w:val="000000" w:themeColor="text1"/>
          <w:lang w:val="en-GB"/>
        </w:rPr>
        <w:t xml:space="preserve"> whether they are eligible for inclusion or not. </w:t>
      </w:r>
      <w:r w:rsidR="00791296" w:rsidRPr="00DF3EFF">
        <w:rPr>
          <w:rFonts w:cs="Times New Roman"/>
          <w:color w:val="000000" w:themeColor="text1"/>
          <w:lang w:val="en-GB"/>
        </w:rPr>
        <w:t xml:space="preserve">The trial is a multicentre, randomised trial with a 1:1 concealed allocation conducted in both large university hospitals and smaller local hospitals. </w:t>
      </w:r>
      <w:r w:rsidRPr="00DF3EFF">
        <w:rPr>
          <w:rFonts w:cs="Times New Roman"/>
          <w:color w:val="000000" w:themeColor="text1"/>
          <w:lang w:val="en-GB"/>
        </w:rPr>
        <w:t xml:space="preserve">Trial sites will have access to an internet-based </w:t>
      </w:r>
      <w:r w:rsidRPr="00DF3EFF">
        <w:rPr>
          <w:rFonts w:cs="Times New Roman"/>
          <w:bCs/>
          <w:color w:val="000000" w:themeColor="text1"/>
          <w:lang w:val="en-GB"/>
        </w:rPr>
        <w:t>randomisation</w:t>
      </w:r>
      <w:r w:rsidRPr="00DF3EFF">
        <w:rPr>
          <w:rFonts w:cs="Times New Roman"/>
          <w:color w:val="000000" w:themeColor="text1"/>
          <w:lang w:val="en-GB"/>
        </w:rPr>
        <w:t xml:space="preserve"> application to allow for immediate allocation and adequate </w:t>
      </w:r>
      <w:r w:rsidRPr="00DF3EFF">
        <w:rPr>
          <w:rFonts w:cs="Times New Roman"/>
          <w:color w:val="000000" w:themeColor="text1"/>
          <w:lang w:val="en-GB"/>
        </w:rPr>
        <w:lastRenderedPageBreak/>
        <w:t>concealment of the allocation sequence. Each pa</w:t>
      </w:r>
      <w:r w:rsidRPr="00DF3EFF">
        <w:rPr>
          <w:rFonts w:cs="Arial"/>
          <w:lang w:val="en-GB"/>
        </w:rPr>
        <w:t>rticipan</w:t>
      </w:r>
      <w:r w:rsidRPr="00DF3EFF">
        <w:rPr>
          <w:rFonts w:cs="Times New Roman"/>
          <w:color w:val="000000" w:themeColor="text1"/>
          <w:lang w:val="en-GB"/>
        </w:rPr>
        <w:t xml:space="preserve">t will be assigned a unique trial and randomisation number. Randomisation will be performed with permuted blocks of varying block size unknown to the trial investigators and stratified </w:t>
      </w:r>
      <w:r w:rsidR="00B634A9" w:rsidRPr="00DF3EFF">
        <w:rPr>
          <w:rFonts w:cs="Times New Roman"/>
          <w:color w:val="000000" w:themeColor="text1"/>
          <w:lang w:val="en-GB"/>
        </w:rPr>
        <w:t>by</w:t>
      </w:r>
      <w:r w:rsidRPr="00DF3EFF">
        <w:rPr>
          <w:rFonts w:cs="Times New Roman"/>
          <w:color w:val="000000" w:themeColor="text1"/>
          <w:lang w:val="en-GB"/>
        </w:rPr>
        <w:t xml:space="preserve"> trial site.</w:t>
      </w:r>
    </w:p>
    <w:p w14:paraId="70013FC1" w14:textId="77777777" w:rsidR="00F436DF" w:rsidRPr="00DF3EFF" w:rsidRDefault="00F436DF" w:rsidP="00225D0F">
      <w:pPr>
        <w:pStyle w:val="Overskrift2"/>
      </w:pPr>
      <w:bookmarkStart w:id="4" w:name="_Toc104540067"/>
    </w:p>
    <w:p w14:paraId="6E7EF976" w14:textId="3716E206" w:rsidR="00225D0F" w:rsidRPr="00DF3EFF" w:rsidRDefault="00225D0F" w:rsidP="00225D0F">
      <w:pPr>
        <w:pStyle w:val="Overskrift2"/>
      </w:pPr>
      <w:r w:rsidRPr="00DF3EFF">
        <w:t>Blinding</w:t>
      </w:r>
      <w:bookmarkEnd w:id="4"/>
    </w:p>
    <w:p w14:paraId="183524BF" w14:textId="5367E808" w:rsidR="00225D0F" w:rsidRPr="00DF3EFF" w:rsidRDefault="00225D0F" w:rsidP="00225D0F">
      <w:pPr>
        <w:rPr>
          <w:rFonts w:cs="Times New Roman"/>
          <w:color w:val="000000" w:themeColor="text1"/>
          <w:lang w:val="en-GB"/>
        </w:rPr>
      </w:pPr>
      <w:r w:rsidRPr="00DF3EFF">
        <w:rPr>
          <w:rFonts w:cs="Times New Roman"/>
          <w:color w:val="000000" w:themeColor="text1"/>
          <w:lang w:val="en-GB"/>
        </w:rPr>
        <w:t>The clinical team caring for participants will not be blinded due to nature of the intervention. Participants, their relatives, outcome assessors at the 6</w:t>
      </w:r>
      <w:r w:rsidR="00F436DF" w:rsidRPr="00DF3EFF">
        <w:rPr>
          <w:rFonts w:cs="Times New Roman"/>
          <w:color w:val="000000" w:themeColor="text1"/>
          <w:lang w:val="en-GB"/>
        </w:rPr>
        <w:t>-</w:t>
      </w:r>
      <w:r w:rsidRPr="00DF3EFF">
        <w:rPr>
          <w:rFonts w:cs="Times New Roman"/>
          <w:color w:val="000000" w:themeColor="text1"/>
          <w:lang w:val="en-GB"/>
        </w:rPr>
        <w:t>month follow-up</w:t>
      </w:r>
      <w:r w:rsidR="005A765E" w:rsidRPr="00DF3EFF">
        <w:rPr>
          <w:rFonts w:cs="Times New Roman"/>
          <w:color w:val="000000" w:themeColor="text1"/>
          <w:lang w:val="en-GB"/>
        </w:rPr>
        <w:t>,</w:t>
      </w:r>
      <w:r w:rsidRPr="00DF3EFF">
        <w:rPr>
          <w:rFonts w:cs="Times New Roman"/>
          <w:color w:val="000000" w:themeColor="text1"/>
          <w:lang w:val="en-GB"/>
        </w:rPr>
        <w:t xml:space="preserve"> and trial statisticians will be blinded to the treatment allocation. In the event of a suspected unexpected serious adverse complication (SUSAC) it is permissible for the trial managing group to reveal a participant’s allocated treatment.</w:t>
      </w:r>
    </w:p>
    <w:p w14:paraId="79A2A783" w14:textId="77777777" w:rsidR="00F436DF" w:rsidRPr="00DF3EFF" w:rsidRDefault="00F436DF" w:rsidP="00225D0F">
      <w:pPr>
        <w:pStyle w:val="Overskrift2"/>
      </w:pPr>
      <w:bookmarkStart w:id="5" w:name="_Toc104540064"/>
    </w:p>
    <w:p w14:paraId="1A07C23B" w14:textId="29FAF0F1" w:rsidR="00C14E06" w:rsidRPr="00DF3EFF" w:rsidRDefault="00B94FB3" w:rsidP="00225D0F">
      <w:pPr>
        <w:pStyle w:val="Overskrift2"/>
      </w:pPr>
      <w:r w:rsidRPr="00DF3EFF">
        <w:t>Trial i</w:t>
      </w:r>
      <w:r w:rsidR="00C14E06" w:rsidRPr="00DF3EFF">
        <w:t>ntervention</w:t>
      </w:r>
      <w:bookmarkEnd w:id="5"/>
    </w:p>
    <w:p w14:paraId="5046087C" w14:textId="6F26A077" w:rsidR="00F436DF" w:rsidRPr="00CE418C" w:rsidRDefault="00C14E06" w:rsidP="00F436DF">
      <w:pPr>
        <w:rPr>
          <w:lang w:val="en-GB"/>
        </w:rPr>
      </w:pPr>
      <w:r w:rsidRPr="00DF3EFF">
        <w:rPr>
          <w:rFonts w:cs="Times New Roman"/>
          <w:color w:val="000000" w:themeColor="text1"/>
          <w:lang w:val="en-GB"/>
        </w:rPr>
        <w:t>Pa</w:t>
      </w:r>
      <w:r w:rsidRPr="00DF3EFF">
        <w:rPr>
          <w:rFonts w:cs="Arial"/>
          <w:lang w:val="en-GB"/>
        </w:rPr>
        <w:t>rticipant</w:t>
      </w:r>
      <w:r w:rsidRPr="00DF3EFF">
        <w:rPr>
          <w:rFonts w:cs="Times New Roman"/>
          <w:color w:val="000000" w:themeColor="text1"/>
          <w:lang w:val="en-GB"/>
        </w:rPr>
        <w:t xml:space="preserve">s will receive non-resuscitation fluids according to the protocol described </w:t>
      </w:r>
      <w:r w:rsidR="00096F53" w:rsidRPr="00DF3EFF">
        <w:rPr>
          <w:rFonts w:cs="Times New Roman"/>
          <w:color w:val="000000" w:themeColor="text1"/>
          <w:lang w:val="en-GB"/>
        </w:rPr>
        <w:t xml:space="preserve">in detail elsewhere </w:t>
      </w:r>
      <w:r w:rsidR="008B77AC" w:rsidRPr="00DF3EFF">
        <w:rPr>
          <w:rFonts w:cs="Times New Roman"/>
          <w:color w:val="000000" w:themeColor="text1"/>
          <w:lang w:val="en-GB"/>
        </w:rPr>
        <w:t>[Lindén</w:t>
      </w:r>
      <w:r w:rsidR="00040F3F">
        <w:rPr>
          <w:rFonts w:cs="Times New Roman"/>
          <w:color w:val="000000" w:themeColor="text1"/>
          <w:lang w:val="en-GB"/>
        </w:rPr>
        <w:t xml:space="preserve"> </w:t>
      </w:r>
      <w:r w:rsidR="008B77AC" w:rsidRPr="00DF3EFF">
        <w:rPr>
          <w:rFonts w:cs="Times New Roman"/>
          <w:color w:val="000000" w:themeColor="text1"/>
          <w:lang w:val="en-GB"/>
        </w:rPr>
        <w:t>submitted</w:t>
      </w:r>
      <w:r w:rsidR="00040F3F">
        <w:rPr>
          <w:rFonts w:cs="Times New Roman"/>
          <w:color w:val="000000" w:themeColor="text1"/>
          <w:lang w:val="en-GB"/>
        </w:rPr>
        <w:t xml:space="preserve"> </w:t>
      </w:r>
      <w:r w:rsidR="00040F3F">
        <w:rPr>
          <w:lang w:val="en-GB"/>
        </w:rPr>
        <w:t>22-06-06</w:t>
      </w:r>
      <w:r w:rsidR="008B77AC" w:rsidRPr="00DF3EFF">
        <w:rPr>
          <w:rFonts w:cs="Times New Roman"/>
          <w:color w:val="000000" w:themeColor="text1"/>
          <w:lang w:val="en-GB"/>
        </w:rPr>
        <w:t xml:space="preserve">] </w:t>
      </w:r>
      <w:r w:rsidRPr="00DF3EFF">
        <w:rPr>
          <w:rFonts w:cs="Times New Roman"/>
          <w:color w:val="000000" w:themeColor="text1"/>
          <w:lang w:val="en-GB"/>
        </w:rPr>
        <w:t>within two hours of randomization</w:t>
      </w:r>
      <w:r w:rsidR="00887514" w:rsidRPr="00DF3EFF">
        <w:rPr>
          <w:rFonts w:cs="Times New Roman"/>
          <w:color w:val="000000" w:themeColor="text1"/>
          <w:lang w:val="en-GB"/>
        </w:rPr>
        <w:t>.</w:t>
      </w:r>
      <w:r w:rsidRPr="00DF3EFF">
        <w:rPr>
          <w:rFonts w:cs="Times New Roman"/>
          <w:color w:val="000000" w:themeColor="text1"/>
          <w:lang w:val="en-GB"/>
        </w:rPr>
        <w:t xml:space="preserve"> </w:t>
      </w:r>
      <w:r w:rsidR="00BF7CE7" w:rsidRPr="00DF3EFF">
        <w:rPr>
          <w:rFonts w:cs="Times New Roman"/>
          <w:color w:val="000000" w:themeColor="text1"/>
          <w:lang w:val="en-GB"/>
        </w:rPr>
        <w:t>In short</w:t>
      </w:r>
      <w:r w:rsidR="00281F4F" w:rsidRPr="00DF3EFF">
        <w:rPr>
          <w:rFonts w:cs="Times New Roman"/>
          <w:color w:val="000000" w:themeColor="text1"/>
          <w:lang w:val="en-GB"/>
        </w:rPr>
        <w:t xml:space="preserve">, </w:t>
      </w:r>
      <w:r w:rsidR="00353C97" w:rsidRPr="00DF3EFF">
        <w:rPr>
          <w:lang w:val="en-GB"/>
        </w:rPr>
        <w:t xml:space="preserve">participants </w:t>
      </w:r>
      <w:r w:rsidR="00281F4F" w:rsidRPr="00DF3EFF">
        <w:rPr>
          <w:lang w:val="en-GB"/>
        </w:rPr>
        <w:t>in the intervention arm will not receive maintenance fluids unless</w:t>
      </w:r>
      <w:r w:rsidR="008B77AC" w:rsidRPr="00DF3EFF">
        <w:rPr>
          <w:lang w:val="en-GB"/>
        </w:rPr>
        <w:t xml:space="preserve"> the</w:t>
      </w:r>
      <w:r w:rsidR="00281F4F" w:rsidRPr="00DF3EFF">
        <w:rPr>
          <w:lang w:val="en-GB"/>
        </w:rPr>
        <w:t xml:space="preserve"> total volume of fluid is not enough to provide hydration. All intravenous drugs and nutrition will be concentrated and administered with the objective to reduce </w:t>
      </w:r>
      <w:r w:rsidR="00694DBB" w:rsidRPr="00DF3EFF">
        <w:rPr>
          <w:lang w:val="en-GB"/>
        </w:rPr>
        <w:t xml:space="preserve">the </w:t>
      </w:r>
      <w:r w:rsidR="00281F4F" w:rsidRPr="00DF3EFF">
        <w:rPr>
          <w:lang w:val="en-GB"/>
        </w:rPr>
        <w:t xml:space="preserve">volume of fluid. Participants in the control arm will </w:t>
      </w:r>
      <w:r w:rsidR="00F436DF" w:rsidRPr="00DF3EFF">
        <w:rPr>
          <w:rFonts w:cs="Times New Roman"/>
          <w:color w:val="000000" w:themeColor="text1"/>
          <w:lang w:val="en-GB"/>
        </w:rPr>
        <w:t xml:space="preserve">receive non-resuscitation fluids according to local routines. </w:t>
      </w:r>
      <w:r w:rsidRPr="00DF3EFF">
        <w:rPr>
          <w:rFonts w:cs="Times New Roman"/>
          <w:color w:val="000000" w:themeColor="text1"/>
          <w:lang w:val="en-GB"/>
        </w:rPr>
        <w:t>The type</w:t>
      </w:r>
      <w:r w:rsidR="008B77AC" w:rsidRPr="00DF3EFF">
        <w:rPr>
          <w:rFonts w:cs="Times New Roman"/>
          <w:color w:val="000000" w:themeColor="text1"/>
          <w:lang w:val="en-GB"/>
        </w:rPr>
        <w:t>s</w:t>
      </w:r>
      <w:r w:rsidRPr="00DF3EFF">
        <w:rPr>
          <w:rFonts w:cs="Times New Roman"/>
          <w:color w:val="000000" w:themeColor="text1"/>
          <w:lang w:val="en-GB"/>
        </w:rPr>
        <w:t xml:space="preserve"> of </w:t>
      </w:r>
      <w:r w:rsidR="00F53A1F" w:rsidRPr="00DF3EFF">
        <w:rPr>
          <w:rFonts w:cs="Times New Roman"/>
          <w:color w:val="000000" w:themeColor="text1"/>
          <w:lang w:val="en-GB"/>
        </w:rPr>
        <w:t xml:space="preserve">non-resuscitation </w:t>
      </w:r>
      <w:r w:rsidRPr="00DF3EFF">
        <w:rPr>
          <w:rFonts w:cs="Times New Roman"/>
          <w:color w:val="000000" w:themeColor="text1"/>
          <w:lang w:val="en-GB"/>
        </w:rPr>
        <w:t xml:space="preserve">fluids will be given according to usual care at each respective centre with the objective to use similar types of fluids in both groups. The intervention will be continued for the duration of the ICU stay </w:t>
      </w:r>
      <w:r w:rsidR="002C3E76">
        <w:rPr>
          <w:rFonts w:cs="Times New Roman"/>
          <w:color w:val="000000" w:themeColor="text1"/>
          <w:lang w:val="en-GB"/>
        </w:rPr>
        <w:t xml:space="preserve">or </w:t>
      </w:r>
      <w:r w:rsidRPr="00DF3EFF">
        <w:rPr>
          <w:rFonts w:cs="Times New Roman"/>
          <w:color w:val="000000" w:themeColor="text1"/>
          <w:lang w:val="en-GB"/>
        </w:rPr>
        <w:t>up to a maximum of 90 days.</w:t>
      </w:r>
      <w:r w:rsidR="00096F53" w:rsidRPr="00DF3EFF">
        <w:rPr>
          <w:rFonts w:cs="Times New Roman"/>
          <w:color w:val="000000" w:themeColor="text1"/>
          <w:lang w:val="en-GB"/>
        </w:rPr>
        <w:t xml:space="preserve"> </w:t>
      </w:r>
      <w:r w:rsidRPr="00DF3EFF">
        <w:rPr>
          <w:rFonts w:cs="Arial"/>
          <w:lang w:val="en-GB"/>
        </w:rPr>
        <w:t xml:space="preserve">Site investigators will establish what constitutes usual care is in “their” ICU prior to initiation of the trial. Site investigators will be responsible for preventing drift </w:t>
      </w:r>
      <w:r w:rsidR="008B77AC" w:rsidRPr="00DF3EFF">
        <w:rPr>
          <w:rFonts w:cs="Arial"/>
          <w:lang w:val="en-GB"/>
        </w:rPr>
        <w:t xml:space="preserve">(systematic deviations from usual care) </w:t>
      </w:r>
      <w:r w:rsidRPr="00DF3EFF">
        <w:rPr>
          <w:rFonts w:cs="Arial"/>
          <w:lang w:val="en-GB"/>
        </w:rPr>
        <w:t>in the usual care group</w:t>
      </w:r>
      <w:r w:rsidRPr="00DF3EFF">
        <w:rPr>
          <w:rFonts w:ascii="Arial" w:hAnsi="Arial" w:cs="Arial"/>
          <w:sz w:val="22"/>
          <w:szCs w:val="22"/>
          <w:lang w:val="en-GB"/>
        </w:rPr>
        <w:t xml:space="preserve">. </w:t>
      </w:r>
      <w:r w:rsidR="00D3026E" w:rsidRPr="00D3026E">
        <w:rPr>
          <w:rFonts w:ascii="Arial" w:hAnsi="Arial" w:cs="Arial"/>
          <w:sz w:val="22"/>
          <w:szCs w:val="22"/>
          <w:lang w:val="en-GB"/>
        </w:rPr>
        <w:t>Resuscitation fluids will be administered according to the surviving sepsis campaign guidelines in both groups</w:t>
      </w:r>
      <w:r w:rsidR="00D3026E">
        <w:rPr>
          <w:rFonts w:ascii="Arial" w:hAnsi="Arial" w:cs="Arial"/>
          <w:sz w:val="22"/>
          <w:szCs w:val="22"/>
          <w:lang w:val="en-GB"/>
        </w:rPr>
        <w:t xml:space="preserve"> (Evans 2021).</w:t>
      </w:r>
    </w:p>
    <w:p w14:paraId="7AF7AFFE" w14:textId="77777777" w:rsidR="00F436DF" w:rsidRPr="00DF3EFF" w:rsidRDefault="00F436DF" w:rsidP="00225D0F">
      <w:pPr>
        <w:pStyle w:val="Overskrift2"/>
        <w:rPr>
          <w:rFonts w:ascii="Arial" w:hAnsi="Arial" w:cs="Arial"/>
          <w:sz w:val="22"/>
          <w:szCs w:val="22"/>
        </w:rPr>
      </w:pPr>
    </w:p>
    <w:p w14:paraId="4B2191D2" w14:textId="31698234" w:rsidR="00B600A2" w:rsidRPr="00DF3EFF" w:rsidRDefault="00B600A2" w:rsidP="00225D0F">
      <w:pPr>
        <w:pStyle w:val="Overskrift2"/>
      </w:pPr>
      <w:r w:rsidRPr="00DF3EFF">
        <w:t>Outcomes</w:t>
      </w:r>
    </w:p>
    <w:p w14:paraId="3DCE0776" w14:textId="3D2ED9E2" w:rsidR="00792F41" w:rsidRPr="00DF3EFF" w:rsidRDefault="007D6183" w:rsidP="009D6969">
      <w:pPr>
        <w:pStyle w:val="Overskrift3"/>
        <w:rPr>
          <w:rFonts w:cstheme="minorBidi"/>
          <w:b/>
          <w:color w:val="000000" w:themeColor="text1"/>
        </w:rPr>
      </w:pPr>
      <w:bookmarkStart w:id="6" w:name="_Toc104540052"/>
      <w:r w:rsidRPr="00DF3EFF">
        <w:rPr>
          <w:rStyle w:val="Overskrift2Tegn"/>
          <w:b w:val="0"/>
          <w:bCs w:val="0"/>
        </w:rPr>
        <w:t xml:space="preserve">Primary </w:t>
      </w:r>
      <w:r w:rsidR="00765F66" w:rsidRPr="00DF3EFF">
        <w:rPr>
          <w:rStyle w:val="Overskrift2Tegn"/>
          <w:b w:val="0"/>
          <w:bCs w:val="0"/>
        </w:rPr>
        <w:t xml:space="preserve">feasibility </w:t>
      </w:r>
      <w:r w:rsidRPr="00DF3EFF">
        <w:rPr>
          <w:rStyle w:val="Overskrift2Tegn"/>
          <w:b w:val="0"/>
          <w:bCs w:val="0"/>
        </w:rPr>
        <w:t>outcome</w:t>
      </w:r>
      <w:bookmarkEnd w:id="6"/>
      <w:r w:rsidR="00C62287" w:rsidRPr="00DF3EFF">
        <w:rPr>
          <w:rFonts w:cstheme="minorBidi"/>
          <w:b/>
          <w:color w:val="000000" w:themeColor="text1"/>
        </w:rPr>
        <w:t xml:space="preserve"> </w:t>
      </w:r>
    </w:p>
    <w:p w14:paraId="10DA55E9" w14:textId="1E3921FC" w:rsidR="00F4152A" w:rsidRPr="00F4152A" w:rsidRDefault="008B77AC" w:rsidP="004A25B7">
      <w:pPr>
        <w:pStyle w:val="Listeafsnit"/>
        <w:numPr>
          <w:ilvl w:val="0"/>
          <w:numId w:val="16"/>
        </w:numPr>
        <w:rPr>
          <w:lang w:val="en-US"/>
        </w:rPr>
      </w:pPr>
      <w:r w:rsidRPr="00F4152A">
        <w:rPr>
          <w:color w:val="000000" w:themeColor="text1"/>
          <w:lang w:val="en-GB"/>
        </w:rPr>
        <w:t xml:space="preserve">Volume </w:t>
      </w:r>
      <w:r w:rsidR="00C0373A">
        <w:rPr>
          <w:color w:val="000000" w:themeColor="text1"/>
          <w:lang w:val="en-GB"/>
        </w:rPr>
        <w:t>o</w:t>
      </w:r>
      <w:r w:rsidR="00F22E52" w:rsidRPr="00F4152A">
        <w:rPr>
          <w:color w:val="000000" w:themeColor="text1"/>
          <w:lang w:val="en-GB"/>
        </w:rPr>
        <w:t xml:space="preserve">f fluids administered within three days </w:t>
      </w:r>
      <w:r w:rsidR="00634987" w:rsidRPr="00F4152A">
        <w:rPr>
          <w:color w:val="000000" w:themeColor="text1"/>
          <w:lang w:val="en-GB"/>
        </w:rPr>
        <w:t>of</w:t>
      </w:r>
      <w:r w:rsidR="00F4152A" w:rsidRPr="00F4152A">
        <w:rPr>
          <w:color w:val="000000" w:themeColor="text1"/>
          <w:lang w:val="en-GB"/>
        </w:rPr>
        <w:t xml:space="preserve"> inclusion</w:t>
      </w:r>
      <w:bookmarkStart w:id="7" w:name="_Toc104540053"/>
    </w:p>
    <w:p w14:paraId="7EAD6374" w14:textId="456D8AFA" w:rsidR="00F945B7" w:rsidRPr="00DF3EFF" w:rsidRDefault="000E2B06" w:rsidP="009D6969">
      <w:pPr>
        <w:pStyle w:val="Overskrift3"/>
      </w:pPr>
      <w:r w:rsidRPr="00DF3EFF">
        <w:t xml:space="preserve">Secondary </w:t>
      </w:r>
      <w:r w:rsidR="00765F66" w:rsidRPr="00DF3EFF">
        <w:t xml:space="preserve">feasibility </w:t>
      </w:r>
      <w:r w:rsidRPr="00DF3EFF">
        <w:t>outcome</w:t>
      </w:r>
      <w:r w:rsidR="00681DE2" w:rsidRPr="00DF3EFF">
        <w:t>s</w:t>
      </w:r>
      <w:bookmarkEnd w:id="7"/>
    </w:p>
    <w:p w14:paraId="67E21F56" w14:textId="37E6F7C2" w:rsidR="00AD25B9" w:rsidRPr="00DF3EFF" w:rsidRDefault="009B7B23" w:rsidP="004A25B7">
      <w:pPr>
        <w:pStyle w:val="Listeafsnit"/>
        <w:numPr>
          <w:ilvl w:val="0"/>
          <w:numId w:val="6"/>
        </w:numPr>
        <w:rPr>
          <w:lang w:val="en-GB"/>
        </w:rPr>
      </w:pPr>
      <w:r w:rsidRPr="00DF3EFF">
        <w:rPr>
          <w:lang w:val="en-GB"/>
        </w:rPr>
        <w:t>Propor</w:t>
      </w:r>
      <w:r w:rsidR="00AD25B9" w:rsidRPr="00DF3EFF">
        <w:rPr>
          <w:lang w:val="en-GB"/>
        </w:rPr>
        <w:t>tion of pa</w:t>
      </w:r>
      <w:r w:rsidR="00D053B7" w:rsidRPr="00DF3EFF">
        <w:rPr>
          <w:rFonts w:cs="Arial"/>
          <w:lang w:val="en-GB"/>
        </w:rPr>
        <w:t>rticipant</w:t>
      </w:r>
      <w:r w:rsidR="00AD25B9" w:rsidRPr="00DF3EFF">
        <w:rPr>
          <w:lang w:val="en-GB"/>
        </w:rPr>
        <w:t>s</w:t>
      </w:r>
      <w:r w:rsidR="00765F66" w:rsidRPr="00DF3EFF">
        <w:rPr>
          <w:lang w:val="en-GB"/>
        </w:rPr>
        <w:t xml:space="preserve"> </w:t>
      </w:r>
      <w:r w:rsidR="00AD25B9" w:rsidRPr="00DF3EFF">
        <w:rPr>
          <w:lang w:val="en-GB"/>
        </w:rPr>
        <w:t>with</w:t>
      </w:r>
      <w:r w:rsidR="00724924">
        <w:rPr>
          <w:lang w:val="en-GB"/>
        </w:rPr>
        <w:t xml:space="preserve"> </w:t>
      </w:r>
      <w:r w:rsidR="00821EB4" w:rsidRPr="00DF3EFF">
        <w:rPr>
          <w:lang w:val="en-GB"/>
        </w:rPr>
        <w:t xml:space="preserve">clinical </w:t>
      </w:r>
      <w:r w:rsidR="00AD25B9" w:rsidRPr="00DF3EFF">
        <w:rPr>
          <w:lang w:val="en-GB"/>
        </w:rPr>
        <w:t>outcome data</w:t>
      </w:r>
      <w:r w:rsidR="00DE0FD4">
        <w:rPr>
          <w:lang w:val="en-GB"/>
        </w:rPr>
        <w:t xml:space="preserve"> on the primary and secon</w:t>
      </w:r>
      <w:r w:rsidR="00724924">
        <w:rPr>
          <w:lang w:val="en-GB"/>
        </w:rPr>
        <w:t>d</w:t>
      </w:r>
      <w:r w:rsidR="00DE0FD4">
        <w:rPr>
          <w:lang w:val="en-GB"/>
        </w:rPr>
        <w:t>ar</w:t>
      </w:r>
      <w:r w:rsidR="00724924">
        <w:rPr>
          <w:lang w:val="en-GB"/>
        </w:rPr>
        <w:t>y outcomes which we plan to assess</w:t>
      </w:r>
      <w:r w:rsidR="00724924" w:rsidRPr="00724924">
        <w:rPr>
          <w:lang w:val="en-GB"/>
        </w:rPr>
        <w:t xml:space="preserve"> </w:t>
      </w:r>
      <w:r w:rsidR="00724924" w:rsidRPr="00DF3EFF">
        <w:rPr>
          <w:lang w:val="en-GB"/>
        </w:rPr>
        <w:t>in a future larger randomised trial</w:t>
      </w:r>
      <w:r w:rsidR="00821EB4" w:rsidRPr="00DF3EFF">
        <w:rPr>
          <w:lang w:val="en-GB"/>
        </w:rPr>
        <w:t>. These include</w:t>
      </w:r>
      <w:r w:rsidR="00AD25B9" w:rsidRPr="00DF3EFF">
        <w:rPr>
          <w:lang w:val="en-GB"/>
        </w:rPr>
        <w:t xml:space="preserve"> all-cause mortality, days alive and free of mechanical ventilation</w:t>
      </w:r>
      <w:r w:rsidR="00DB2BCD" w:rsidRPr="00DF3EFF">
        <w:rPr>
          <w:lang w:val="en-GB"/>
        </w:rPr>
        <w:t>,</w:t>
      </w:r>
      <w:r w:rsidR="00AD25B9" w:rsidRPr="00DF3EFF">
        <w:rPr>
          <w:lang w:val="en-GB"/>
        </w:rPr>
        <w:t xml:space="preserve"> acute kidney injury</w:t>
      </w:r>
      <w:r w:rsidR="00D05132" w:rsidRPr="00DF3EFF">
        <w:rPr>
          <w:lang w:val="en-GB"/>
        </w:rPr>
        <w:t>,</w:t>
      </w:r>
      <w:r w:rsidR="00AD25B9" w:rsidRPr="00DF3EFF">
        <w:rPr>
          <w:lang w:val="en-GB"/>
        </w:rPr>
        <w:t xml:space="preserve"> and ischemic events in the ICU (cerebral, cardiac, intestinal</w:t>
      </w:r>
      <w:r w:rsidR="00E824F6" w:rsidRPr="00DF3EFF">
        <w:rPr>
          <w:lang w:val="en-GB"/>
        </w:rPr>
        <w:t>,</w:t>
      </w:r>
      <w:r w:rsidR="00AD25B9" w:rsidRPr="00DF3EFF">
        <w:rPr>
          <w:lang w:val="en-GB"/>
        </w:rPr>
        <w:t xml:space="preserve"> or limb ischemia)</w:t>
      </w:r>
      <w:r w:rsidR="007C4E36" w:rsidRPr="00DF3EFF">
        <w:rPr>
          <w:lang w:val="en-GB"/>
        </w:rPr>
        <w:t xml:space="preserve"> within 90 days of inclusion</w:t>
      </w:r>
    </w:p>
    <w:p w14:paraId="1E68CB74" w14:textId="074C3243" w:rsidR="00AD25B9" w:rsidRPr="00DF3EFF" w:rsidRDefault="009B7B23" w:rsidP="004A25B7">
      <w:pPr>
        <w:pStyle w:val="Listeafsnit"/>
        <w:numPr>
          <w:ilvl w:val="0"/>
          <w:numId w:val="6"/>
        </w:numPr>
        <w:rPr>
          <w:lang w:val="en-GB"/>
        </w:rPr>
      </w:pPr>
      <w:r w:rsidRPr="00DF3EFF">
        <w:rPr>
          <w:lang w:val="en-GB"/>
        </w:rPr>
        <w:t>Propor</w:t>
      </w:r>
      <w:r w:rsidR="00AD25B9" w:rsidRPr="00DF3EFF">
        <w:rPr>
          <w:lang w:val="en-GB"/>
        </w:rPr>
        <w:t>tion of surviving pa</w:t>
      </w:r>
      <w:r w:rsidR="00D053B7" w:rsidRPr="00DF3EFF">
        <w:rPr>
          <w:rFonts w:cs="Arial"/>
          <w:lang w:val="en-GB"/>
        </w:rPr>
        <w:t>rticipant</w:t>
      </w:r>
      <w:r w:rsidR="00AD25B9" w:rsidRPr="00DF3EFF">
        <w:rPr>
          <w:lang w:val="en-GB"/>
        </w:rPr>
        <w:t xml:space="preserve">s assessed by </w:t>
      </w:r>
      <w:r w:rsidR="007F3CED" w:rsidRPr="00DF3EFF">
        <w:rPr>
          <w:lang w:val="en-GB"/>
        </w:rPr>
        <w:t xml:space="preserve">the </w:t>
      </w:r>
      <w:r w:rsidR="00527D84" w:rsidRPr="00DF3EFF">
        <w:rPr>
          <w:rFonts w:cs="Times New Roman"/>
          <w:color w:val="000000" w:themeColor="text1"/>
          <w:lang w:val="en-GB"/>
        </w:rPr>
        <w:t>Euro</w:t>
      </w:r>
      <w:r w:rsidR="002C3E76">
        <w:rPr>
          <w:rFonts w:cs="Times New Roman"/>
          <w:color w:val="000000" w:themeColor="text1"/>
          <w:lang w:val="en-GB"/>
        </w:rPr>
        <w:t>Qol</w:t>
      </w:r>
      <w:r w:rsidR="00527D84" w:rsidRPr="00DF3EFF">
        <w:rPr>
          <w:rFonts w:cs="Times New Roman"/>
          <w:color w:val="000000" w:themeColor="text1"/>
          <w:lang w:val="en-GB"/>
        </w:rPr>
        <w:t xml:space="preserve"> -5</w:t>
      </w:r>
      <w:r w:rsidR="002C3E76">
        <w:rPr>
          <w:rFonts w:cs="Times New Roman"/>
          <w:color w:val="000000" w:themeColor="text1"/>
          <w:lang w:val="en-GB"/>
        </w:rPr>
        <w:t>-</w:t>
      </w:r>
      <w:r w:rsidR="00527D84" w:rsidRPr="00DF3EFF">
        <w:rPr>
          <w:rFonts w:cs="Times New Roman"/>
          <w:color w:val="000000" w:themeColor="text1"/>
          <w:lang w:val="en-GB"/>
        </w:rPr>
        <w:t xml:space="preserve"> Dimensions 5- Level questionnaire</w:t>
      </w:r>
      <w:r w:rsidR="00527D84" w:rsidRPr="00DF3EFF">
        <w:rPr>
          <w:lang w:val="en-GB"/>
        </w:rPr>
        <w:t xml:space="preserve"> (</w:t>
      </w:r>
      <w:r w:rsidR="00AD25B9" w:rsidRPr="00DF3EFF">
        <w:rPr>
          <w:lang w:val="en-GB"/>
        </w:rPr>
        <w:t>EQ</w:t>
      </w:r>
      <w:r w:rsidR="00DF27DA" w:rsidRPr="00DF3EFF">
        <w:rPr>
          <w:lang w:val="en-GB"/>
        </w:rPr>
        <w:t>-</w:t>
      </w:r>
      <w:r w:rsidR="00AD25B9" w:rsidRPr="00DF3EFF">
        <w:rPr>
          <w:lang w:val="en-GB"/>
        </w:rPr>
        <w:t>5D</w:t>
      </w:r>
      <w:r w:rsidR="00527D84" w:rsidRPr="00DF3EFF">
        <w:rPr>
          <w:lang w:val="en-GB"/>
        </w:rPr>
        <w:t>-</w:t>
      </w:r>
      <w:r w:rsidR="00AD25B9" w:rsidRPr="00DF3EFF">
        <w:rPr>
          <w:lang w:val="en-GB"/>
        </w:rPr>
        <w:t>5L</w:t>
      </w:r>
      <w:r w:rsidR="00527D84" w:rsidRPr="00DF3EFF">
        <w:rPr>
          <w:lang w:val="en-GB"/>
        </w:rPr>
        <w:t>)</w:t>
      </w:r>
      <w:r w:rsidR="00AD25B9" w:rsidRPr="00DF3EFF">
        <w:rPr>
          <w:lang w:val="en-GB"/>
        </w:rPr>
        <w:t xml:space="preserve"> and</w:t>
      </w:r>
      <w:r w:rsidR="00527D84" w:rsidRPr="00DF3EFF">
        <w:rPr>
          <w:lang w:val="en-GB"/>
        </w:rPr>
        <w:t xml:space="preserve"> </w:t>
      </w:r>
      <w:r w:rsidR="007826A6" w:rsidRPr="00DF3EFF">
        <w:rPr>
          <w:lang w:val="en-GB"/>
        </w:rPr>
        <w:t>t</w:t>
      </w:r>
      <w:r w:rsidR="00527D84" w:rsidRPr="00DF3EFF">
        <w:rPr>
          <w:lang w:val="en-GB"/>
        </w:rPr>
        <w:t>he Montreal Cognitive Assessment</w:t>
      </w:r>
      <w:r w:rsidR="00AD25B9" w:rsidRPr="00DF3EFF">
        <w:rPr>
          <w:lang w:val="en-GB"/>
        </w:rPr>
        <w:t xml:space="preserve"> </w:t>
      </w:r>
      <w:r w:rsidR="00527D84" w:rsidRPr="00DF3EFF">
        <w:rPr>
          <w:lang w:val="en-GB"/>
        </w:rPr>
        <w:t>(</w:t>
      </w:r>
      <w:r w:rsidR="00AD25B9" w:rsidRPr="00DF3EFF">
        <w:rPr>
          <w:lang w:val="en-GB"/>
        </w:rPr>
        <w:t>MoCA</w:t>
      </w:r>
      <w:r w:rsidR="00527D84" w:rsidRPr="00DF3EFF">
        <w:rPr>
          <w:lang w:val="en-GB"/>
        </w:rPr>
        <w:t>)</w:t>
      </w:r>
      <w:r w:rsidR="00177118" w:rsidRPr="00DF3EFF">
        <w:rPr>
          <w:lang w:val="en-GB"/>
        </w:rPr>
        <w:t xml:space="preserve"> at 6 months</w:t>
      </w:r>
    </w:p>
    <w:p w14:paraId="1CD217ED" w14:textId="0EA44B7F" w:rsidR="00EE1499" w:rsidRPr="00DF3EFF" w:rsidRDefault="009B7B23" w:rsidP="004A25B7">
      <w:pPr>
        <w:pStyle w:val="Listeafsnit"/>
        <w:numPr>
          <w:ilvl w:val="0"/>
          <w:numId w:val="6"/>
        </w:numPr>
        <w:rPr>
          <w:lang w:val="en-GB"/>
        </w:rPr>
      </w:pPr>
      <w:r w:rsidRPr="00DF3EFF">
        <w:rPr>
          <w:lang w:val="en-GB"/>
        </w:rPr>
        <w:t>Propor</w:t>
      </w:r>
      <w:r w:rsidR="00EE1499" w:rsidRPr="00DF3EFF">
        <w:rPr>
          <w:lang w:val="en-GB"/>
        </w:rPr>
        <w:t>tion of all eligible patients who were randomised</w:t>
      </w:r>
      <w:r w:rsidR="00B67306" w:rsidRPr="00DF3EFF">
        <w:rPr>
          <w:lang w:val="en-GB"/>
        </w:rPr>
        <w:t xml:space="preserve"> and consented</w:t>
      </w:r>
    </w:p>
    <w:p w14:paraId="68A34002" w14:textId="6DA269FC" w:rsidR="008232B5" w:rsidRPr="00DF3EFF" w:rsidRDefault="009B7B23" w:rsidP="004A25B7">
      <w:pPr>
        <w:pStyle w:val="Listeafsnit"/>
        <w:numPr>
          <w:ilvl w:val="0"/>
          <w:numId w:val="6"/>
        </w:numPr>
        <w:rPr>
          <w:lang w:val="en-GB"/>
        </w:rPr>
      </w:pPr>
      <w:r w:rsidRPr="00DF3EFF">
        <w:rPr>
          <w:lang w:val="en-GB"/>
        </w:rPr>
        <w:t>Propor</w:t>
      </w:r>
      <w:r w:rsidR="00AD25B9" w:rsidRPr="00DF3EFF">
        <w:rPr>
          <w:lang w:val="en-GB"/>
        </w:rPr>
        <w:t>tion of pa</w:t>
      </w:r>
      <w:r w:rsidR="00D053B7" w:rsidRPr="00DF3EFF">
        <w:rPr>
          <w:rFonts w:cs="Arial"/>
          <w:lang w:val="en-GB"/>
        </w:rPr>
        <w:t>rticipant</w:t>
      </w:r>
      <w:r w:rsidR="00AD25B9" w:rsidRPr="00DF3EFF">
        <w:rPr>
          <w:lang w:val="en-GB"/>
        </w:rPr>
        <w:t>s experiencing at least on</w:t>
      </w:r>
      <w:r w:rsidR="008670E7" w:rsidRPr="00DF3EFF">
        <w:rPr>
          <w:lang w:val="en-GB"/>
        </w:rPr>
        <w:t>e</w:t>
      </w:r>
      <w:r w:rsidR="00AD25B9" w:rsidRPr="00DF3EFF">
        <w:rPr>
          <w:lang w:val="en-GB"/>
        </w:rPr>
        <w:t xml:space="preserve"> protocol violation</w:t>
      </w:r>
    </w:p>
    <w:p w14:paraId="365E2A68" w14:textId="754151D9" w:rsidR="00853D84" w:rsidRPr="00DF3EFF" w:rsidRDefault="00E726B8" w:rsidP="009D6969">
      <w:pPr>
        <w:pStyle w:val="Overskrift3"/>
      </w:pPr>
      <w:bookmarkStart w:id="8" w:name="_Toc104540054"/>
      <w:r w:rsidRPr="00DF3EFF">
        <w:t>Primary e</w:t>
      </w:r>
      <w:r w:rsidR="00681DE2" w:rsidRPr="00DF3EFF">
        <w:t>xplorat</w:t>
      </w:r>
      <w:r w:rsidR="00F22E52" w:rsidRPr="00DF3EFF">
        <w:t>ory</w:t>
      </w:r>
      <w:r w:rsidR="00681DE2" w:rsidRPr="00DF3EFF">
        <w:t xml:space="preserve"> </w:t>
      </w:r>
      <w:r w:rsidR="006D0F5E" w:rsidRPr="00DF3EFF">
        <w:t>clin</w:t>
      </w:r>
      <w:r w:rsidR="0068561C" w:rsidRPr="00DF3EFF">
        <w:t>i</w:t>
      </w:r>
      <w:r w:rsidR="006D0F5E" w:rsidRPr="00DF3EFF">
        <w:t xml:space="preserve">cal </w:t>
      </w:r>
      <w:r w:rsidR="00681DE2" w:rsidRPr="00DF3EFF">
        <w:t>outcomes</w:t>
      </w:r>
      <w:bookmarkEnd w:id="8"/>
    </w:p>
    <w:p w14:paraId="4CA9ECB1" w14:textId="11C0C973" w:rsidR="006D0F5E" w:rsidRPr="00DF3EFF" w:rsidRDefault="0068561C" w:rsidP="005D4D88">
      <w:pPr>
        <w:rPr>
          <w:lang w:val="en-GB"/>
        </w:rPr>
      </w:pPr>
      <w:r w:rsidRPr="00DF3EFF">
        <w:rPr>
          <w:lang w:val="en-GB"/>
        </w:rPr>
        <w:t xml:space="preserve">We will </w:t>
      </w:r>
      <w:r w:rsidR="007826A6" w:rsidRPr="00DF3EFF">
        <w:rPr>
          <w:lang w:val="en-GB"/>
        </w:rPr>
        <w:t>explore</w:t>
      </w:r>
      <w:r w:rsidRPr="00DF3EFF">
        <w:rPr>
          <w:lang w:val="en-GB"/>
        </w:rPr>
        <w:t xml:space="preserve"> clinical outcomes which</w:t>
      </w:r>
      <w:r w:rsidR="00E824F6" w:rsidRPr="00DF3EFF">
        <w:rPr>
          <w:lang w:val="en-GB"/>
        </w:rPr>
        <w:t xml:space="preserve"> we</w:t>
      </w:r>
      <w:r w:rsidRPr="00DF3EFF">
        <w:rPr>
          <w:lang w:val="en-GB"/>
        </w:rPr>
        <w:t xml:space="preserve"> </w:t>
      </w:r>
      <w:r w:rsidR="006D0F5E" w:rsidRPr="00DF3EFF">
        <w:rPr>
          <w:lang w:val="en-GB"/>
        </w:rPr>
        <w:t>plan</w:t>
      </w:r>
      <w:r w:rsidR="00E824F6" w:rsidRPr="00DF3EFF">
        <w:rPr>
          <w:lang w:val="en-GB"/>
        </w:rPr>
        <w:t xml:space="preserve"> </w:t>
      </w:r>
      <w:r w:rsidR="00F35C09" w:rsidRPr="00DF3EFF">
        <w:rPr>
          <w:lang w:val="en-GB"/>
        </w:rPr>
        <w:t xml:space="preserve">to assess in </w:t>
      </w:r>
      <w:r w:rsidR="006D0F5E" w:rsidRPr="00DF3EFF">
        <w:rPr>
          <w:lang w:val="en-GB"/>
        </w:rPr>
        <w:t xml:space="preserve">a future </w:t>
      </w:r>
      <w:r w:rsidR="00765F66" w:rsidRPr="00DF3EFF">
        <w:rPr>
          <w:lang w:val="en-GB"/>
        </w:rPr>
        <w:t xml:space="preserve">larger </w:t>
      </w:r>
      <w:r w:rsidR="006D0F5E" w:rsidRPr="00DF3EFF">
        <w:rPr>
          <w:lang w:val="en-GB"/>
        </w:rPr>
        <w:t>randomised trial</w:t>
      </w:r>
      <w:r w:rsidR="00F35C09" w:rsidRPr="00DF3EFF">
        <w:rPr>
          <w:lang w:val="en-GB"/>
        </w:rPr>
        <w:t>. T</w:t>
      </w:r>
      <w:r w:rsidR="006D0F5E" w:rsidRPr="00DF3EFF">
        <w:rPr>
          <w:lang w:val="en-GB"/>
        </w:rPr>
        <w:t xml:space="preserve">he </w:t>
      </w:r>
      <w:r w:rsidR="007826A6" w:rsidRPr="00DF3EFF">
        <w:rPr>
          <w:lang w:val="en-GB"/>
        </w:rPr>
        <w:t xml:space="preserve">following </w:t>
      </w:r>
      <w:r w:rsidR="00F35C09" w:rsidRPr="00DF3EFF">
        <w:rPr>
          <w:lang w:val="en-GB"/>
        </w:rPr>
        <w:t xml:space="preserve">outcomes </w:t>
      </w:r>
      <w:r w:rsidR="006D0F5E" w:rsidRPr="00DF3EFF">
        <w:rPr>
          <w:lang w:val="en-GB"/>
        </w:rPr>
        <w:t xml:space="preserve">will be </w:t>
      </w:r>
      <w:r w:rsidR="007826A6" w:rsidRPr="00DF3EFF">
        <w:rPr>
          <w:lang w:val="en-GB"/>
        </w:rPr>
        <w:t>explorator</w:t>
      </w:r>
      <w:r w:rsidR="00E824F6" w:rsidRPr="00DF3EFF">
        <w:rPr>
          <w:lang w:val="en-GB"/>
        </w:rPr>
        <w:t>il</w:t>
      </w:r>
      <w:r w:rsidR="007826A6" w:rsidRPr="00DF3EFF">
        <w:rPr>
          <w:lang w:val="en-GB"/>
        </w:rPr>
        <w:t xml:space="preserve">y </w:t>
      </w:r>
      <w:r w:rsidR="006D0F5E" w:rsidRPr="00DF3EFF">
        <w:rPr>
          <w:lang w:val="en-GB"/>
        </w:rPr>
        <w:t xml:space="preserve">investigated </w:t>
      </w:r>
      <w:r w:rsidR="007826A6" w:rsidRPr="00DF3EFF">
        <w:rPr>
          <w:lang w:val="en-GB"/>
        </w:rPr>
        <w:t>by</w:t>
      </w:r>
      <w:r w:rsidR="006D0F5E" w:rsidRPr="00DF3EFF">
        <w:rPr>
          <w:lang w:val="en-GB"/>
        </w:rPr>
        <w:t xml:space="preserve"> this feasibility trial</w:t>
      </w:r>
      <w:r w:rsidR="007826A6" w:rsidRPr="00DF3EFF">
        <w:rPr>
          <w:lang w:val="en-GB"/>
        </w:rPr>
        <w:t>:</w:t>
      </w:r>
    </w:p>
    <w:p w14:paraId="785CC791" w14:textId="7CF4AE22" w:rsidR="00792F41" w:rsidRPr="00DF3EFF" w:rsidRDefault="00792F41" w:rsidP="004A25B7">
      <w:pPr>
        <w:pStyle w:val="Listeafsnit"/>
        <w:numPr>
          <w:ilvl w:val="0"/>
          <w:numId w:val="4"/>
        </w:numPr>
        <w:rPr>
          <w:rFonts w:cs="Times New Roman"/>
          <w:color w:val="000000" w:themeColor="text1"/>
          <w:lang w:val="en-GB"/>
        </w:rPr>
      </w:pPr>
      <w:r w:rsidRPr="00DF3EFF">
        <w:rPr>
          <w:rFonts w:cs="Times New Roman"/>
          <w:color w:val="000000" w:themeColor="text1"/>
          <w:lang w:val="en-GB"/>
        </w:rPr>
        <w:t>All-cause mortality at 90 days</w:t>
      </w:r>
      <w:r w:rsidR="00F8720D" w:rsidRPr="00DF3EFF">
        <w:rPr>
          <w:rFonts w:cs="Times New Roman"/>
          <w:color w:val="000000" w:themeColor="text1"/>
          <w:lang w:val="en-GB"/>
        </w:rPr>
        <w:t xml:space="preserve"> after inclusion</w:t>
      </w:r>
    </w:p>
    <w:p w14:paraId="3DD81028" w14:textId="36B8701F" w:rsidR="009A7689" w:rsidRPr="00DF3EFF" w:rsidRDefault="004801D4" w:rsidP="004A25B7">
      <w:pPr>
        <w:pStyle w:val="Listeafsnit"/>
        <w:numPr>
          <w:ilvl w:val="0"/>
          <w:numId w:val="4"/>
        </w:numPr>
        <w:rPr>
          <w:rFonts w:cs="Times New Roman"/>
          <w:color w:val="000000" w:themeColor="text1"/>
          <w:lang w:val="en-GB"/>
        </w:rPr>
      </w:pPr>
      <w:r w:rsidRPr="00DF3EFF">
        <w:rPr>
          <w:rFonts w:cs="Times New Roman"/>
          <w:color w:val="000000" w:themeColor="text1"/>
          <w:lang w:val="en-GB"/>
        </w:rPr>
        <w:t>One or more complication</w:t>
      </w:r>
      <w:r w:rsidR="00E824F6" w:rsidRPr="00DF3EFF">
        <w:rPr>
          <w:rFonts w:cs="Times New Roman"/>
          <w:color w:val="000000" w:themeColor="text1"/>
          <w:lang w:val="en-GB"/>
        </w:rPr>
        <w:t>s</w:t>
      </w:r>
      <w:r w:rsidRPr="00DF3EFF">
        <w:rPr>
          <w:rFonts w:cs="Times New Roman"/>
          <w:color w:val="000000" w:themeColor="text1"/>
          <w:lang w:val="en-GB"/>
        </w:rPr>
        <w:t xml:space="preserve"> in the ICU (cerebral, cardiac, intestinal</w:t>
      </w:r>
      <w:r w:rsidR="00E824F6" w:rsidRPr="00DF3EFF">
        <w:rPr>
          <w:rFonts w:cs="Times New Roman"/>
          <w:color w:val="000000" w:themeColor="text1"/>
          <w:lang w:val="en-GB"/>
        </w:rPr>
        <w:t>,</w:t>
      </w:r>
      <w:r w:rsidRPr="00DF3EFF">
        <w:rPr>
          <w:rFonts w:cs="Times New Roman"/>
          <w:color w:val="000000" w:themeColor="text1"/>
          <w:lang w:val="en-GB"/>
        </w:rPr>
        <w:t xml:space="preserve"> or limb ischemia or any acute kidney injury</w:t>
      </w:r>
      <w:r w:rsidR="00F8720D" w:rsidRPr="00DF3EFF">
        <w:rPr>
          <w:rFonts w:cs="Times New Roman"/>
          <w:color w:val="000000" w:themeColor="text1"/>
          <w:lang w:val="en-GB"/>
        </w:rPr>
        <w:t xml:space="preserve"> within 90</w:t>
      </w:r>
      <w:r w:rsidR="009215AA" w:rsidRPr="00DF3EFF">
        <w:rPr>
          <w:rFonts w:cs="Times New Roman"/>
          <w:color w:val="000000" w:themeColor="text1"/>
          <w:lang w:val="en-GB"/>
        </w:rPr>
        <w:t xml:space="preserve"> days</w:t>
      </w:r>
      <w:r w:rsidR="00F8720D" w:rsidRPr="00DF3EFF">
        <w:rPr>
          <w:rFonts w:cs="Times New Roman"/>
          <w:color w:val="000000" w:themeColor="text1"/>
          <w:lang w:val="en-GB"/>
        </w:rPr>
        <w:t xml:space="preserve"> of inclusion</w:t>
      </w:r>
      <w:r w:rsidR="0086316A">
        <w:rPr>
          <w:rFonts w:cs="Times New Roman"/>
          <w:color w:val="000000" w:themeColor="text1"/>
          <w:lang w:val="en-GB"/>
        </w:rPr>
        <w:t>)</w:t>
      </w:r>
    </w:p>
    <w:p w14:paraId="315E8FFE" w14:textId="500E20E8" w:rsidR="009A7689" w:rsidRPr="00DF3EFF" w:rsidRDefault="004801D4" w:rsidP="004A25B7">
      <w:pPr>
        <w:pStyle w:val="Listeafsnit"/>
        <w:numPr>
          <w:ilvl w:val="0"/>
          <w:numId w:val="4"/>
        </w:numPr>
        <w:rPr>
          <w:rFonts w:cs="Times New Roman"/>
          <w:color w:val="000000" w:themeColor="text1"/>
          <w:lang w:val="en-GB"/>
        </w:rPr>
      </w:pPr>
      <w:r w:rsidRPr="00DF3EFF">
        <w:rPr>
          <w:lang w:val="en-GB"/>
        </w:rPr>
        <w:t>Days alive and free of mechanical ventilation within 90 days of inclusion</w:t>
      </w:r>
    </w:p>
    <w:p w14:paraId="10BEA305" w14:textId="483D190F" w:rsidR="004801D4" w:rsidRPr="00DF3EFF" w:rsidRDefault="004801D4" w:rsidP="004A25B7">
      <w:pPr>
        <w:pStyle w:val="Listeafsnit"/>
        <w:numPr>
          <w:ilvl w:val="0"/>
          <w:numId w:val="4"/>
        </w:numPr>
        <w:rPr>
          <w:rFonts w:cs="Times New Roman"/>
          <w:color w:val="000000" w:themeColor="text1"/>
          <w:lang w:val="en-GB"/>
        </w:rPr>
      </w:pPr>
      <w:r w:rsidRPr="00DF3EFF">
        <w:rPr>
          <w:rFonts w:cs="Times New Roman"/>
          <w:color w:val="000000" w:themeColor="text1"/>
          <w:lang w:val="en-GB"/>
        </w:rPr>
        <w:t>Cognitive function measured using MoCA at 6 months</w:t>
      </w:r>
      <w:r w:rsidR="00F8720D" w:rsidRPr="00DF3EFF">
        <w:rPr>
          <w:rFonts w:cs="Times New Roman"/>
          <w:color w:val="000000" w:themeColor="text1"/>
          <w:lang w:val="en-GB"/>
        </w:rPr>
        <w:t xml:space="preserve"> after inclusion</w:t>
      </w:r>
      <w:r w:rsidR="000D2E09" w:rsidRPr="00DF3EFF">
        <w:rPr>
          <w:rFonts w:cs="Times New Roman"/>
          <w:color w:val="000000" w:themeColor="text1"/>
          <w:lang w:val="en-GB"/>
        </w:rPr>
        <w:t xml:space="preserve"> </w:t>
      </w:r>
      <w:r w:rsidR="000D2E09" w:rsidRPr="00DF3EFF">
        <w:rPr>
          <w:color w:val="000000" w:themeColor="text1"/>
          <w:lang w:val="en-GB"/>
        </w:rPr>
        <w:t>(Brown 2018, Nasreddine 2005)</w:t>
      </w:r>
    </w:p>
    <w:p w14:paraId="7C80B53A" w14:textId="60BBC660" w:rsidR="004801D4" w:rsidRPr="00DF3EFF" w:rsidRDefault="004801D4" w:rsidP="004A25B7">
      <w:pPr>
        <w:pStyle w:val="Listeafsnit"/>
        <w:numPr>
          <w:ilvl w:val="0"/>
          <w:numId w:val="4"/>
        </w:numPr>
        <w:rPr>
          <w:rFonts w:cs="Times New Roman"/>
          <w:color w:val="000000" w:themeColor="text1"/>
          <w:lang w:val="en-GB"/>
        </w:rPr>
      </w:pPr>
      <w:r w:rsidRPr="00DF3EFF">
        <w:rPr>
          <w:rFonts w:cs="Times New Roman"/>
          <w:color w:val="000000" w:themeColor="text1"/>
          <w:lang w:val="en-GB"/>
        </w:rPr>
        <w:t>Health-Related Quality of Life using the EQ</w:t>
      </w:r>
      <w:r w:rsidR="00DF27DA" w:rsidRPr="00DF3EFF">
        <w:rPr>
          <w:rFonts w:cs="Times New Roman"/>
          <w:color w:val="000000" w:themeColor="text1"/>
          <w:lang w:val="en-GB"/>
        </w:rPr>
        <w:t>-</w:t>
      </w:r>
      <w:r w:rsidRPr="00DF3EFF">
        <w:rPr>
          <w:rFonts w:cs="Times New Roman"/>
          <w:color w:val="000000" w:themeColor="text1"/>
          <w:lang w:val="en-GB"/>
        </w:rPr>
        <w:t xml:space="preserve">5D-5L at 6 months </w:t>
      </w:r>
      <w:r w:rsidR="00F8720D" w:rsidRPr="00DF3EFF">
        <w:rPr>
          <w:rFonts w:cs="Times New Roman"/>
          <w:color w:val="000000" w:themeColor="text1"/>
          <w:lang w:val="en-GB"/>
        </w:rPr>
        <w:t>after inclusion</w:t>
      </w:r>
      <w:r w:rsidR="000D2E09" w:rsidRPr="00DF3EFF">
        <w:rPr>
          <w:rFonts w:cs="Times New Roman"/>
          <w:color w:val="000000" w:themeColor="text1"/>
          <w:lang w:val="en-GB"/>
        </w:rPr>
        <w:t xml:space="preserve"> </w:t>
      </w:r>
      <w:r w:rsidR="000D2E09" w:rsidRPr="00DF3EFF">
        <w:rPr>
          <w:color w:val="000000" w:themeColor="text1"/>
          <w:lang w:val="en-GB"/>
        </w:rPr>
        <w:t>(Herdman</w:t>
      </w:r>
      <w:r w:rsidR="0086316A">
        <w:rPr>
          <w:color w:val="000000" w:themeColor="text1"/>
          <w:lang w:val="en-GB"/>
        </w:rPr>
        <w:t xml:space="preserve"> </w:t>
      </w:r>
      <w:r w:rsidR="00AD38AA" w:rsidRPr="00DF3EFF">
        <w:rPr>
          <w:color w:val="000000" w:themeColor="text1"/>
          <w:lang w:val="en-GB"/>
        </w:rPr>
        <w:t>2011</w:t>
      </w:r>
      <w:r w:rsidR="000D2E09" w:rsidRPr="00DF3EFF">
        <w:rPr>
          <w:color w:val="000000" w:themeColor="text1"/>
          <w:lang w:val="en-GB"/>
        </w:rPr>
        <w:t>)</w:t>
      </w:r>
    </w:p>
    <w:p w14:paraId="7380890D" w14:textId="65EDF3FB" w:rsidR="00C45B0F" w:rsidRPr="00DF3EFF" w:rsidRDefault="00C45B0F" w:rsidP="009D6969">
      <w:pPr>
        <w:pStyle w:val="Overskrift3"/>
      </w:pPr>
      <w:bookmarkStart w:id="9" w:name="_Toc104540055"/>
      <w:r w:rsidRPr="00DF3EFF">
        <w:t>Secondary explorat</w:t>
      </w:r>
      <w:r w:rsidR="00F22E52" w:rsidRPr="00DF3EFF">
        <w:t>ory</w:t>
      </w:r>
      <w:r w:rsidRPr="00DF3EFF">
        <w:t xml:space="preserve"> clinical outcomes</w:t>
      </w:r>
      <w:bookmarkEnd w:id="9"/>
    </w:p>
    <w:p w14:paraId="66C2BC05" w14:textId="250A7E12" w:rsidR="00355FDE" w:rsidRPr="00DF3EFF" w:rsidRDefault="00355FDE" w:rsidP="004A25B7">
      <w:pPr>
        <w:numPr>
          <w:ilvl w:val="0"/>
          <w:numId w:val="5"/>
        </w:numPr>
        <w:rPr>
          <w:rFonts w:cs="Arial"/>
          <w:lang w:val="en-GB"/>
        </w:rPr>
      </w:pPr>
      <w:r w:rsidRPr="00DF3EFF">
        <w:rPr>
          <w:rFonts w:cs="Arial"/>
          <w:lang w:val="en-GB"/>
        </w:rPr>
        <w:t>Total volume of non-resuscitation fluids a</w:t>
      </w:r>
      <w:r w:rsidR="00A82E22" w:rsidRPr="00DF3EFF">
        <w:rPr>
          <w:rFonts w:cs="Arial"/>
          <w:lang w:val="en-GB"/>
        </w:rPr>
        <w:t xml:space="preserve">dministered </w:t>
      </w:r>
      <w:r w:rsidR="00A215B3">
        <w:rPr>
          <w:rFonts w:cs="Arial"/>
          <w:lang w:val="en-GB"/>
        </w:rPr>
        <w:t xml:space="preserve">up to </w:t>
      </w:r>
      <w:r w:rsidRPr="00DF3EFF">
        <w:rPr>
          <w:rFonts w:cs="Arial"/>
          <w:lang w:val="en-GB"/>
        </w:rPr>
        <w:t>day</w:t>
      </w:r>
      <w:r w:rsidR="00E824F6" w:rsidRPr="00DF3EFF">
        <w:rPr>
          <w:rFonts w:cs="Arial"/>
          <w:lang w:val="en-GB"/>
        </w:rPr>
        <w:t>s</w:t>
      </w:r>
      <w:r w:rsidRPr="00DF3EFF">
        <w:rPr>
          <w:rFonts w:cs="Arial"/>
          <w:lang w:val="en-GB"/>
        </w:rPr>
        <w:t xml:space="preserve"> 3 and</w:t>
      </w:r>
      <w:r w:rsidR="00A82E22" w:rsidRPr="00DF3EFF">
        <w:rPr>
          <w:rFonts w:cs="Arial"/>
          <w:lang w:val="en-GB"/>
        </w:rPr>
        <w:t xml:space="preserve"> </w:t>
      </w:r>
      <w:r w:rsidRPr="00DF3EFF">
        <w:rPr>
          <w:rFonts w:cs="Arial"/>
          <w:lang w:val="en-GB"/>
        </w:rPr>
        <w:t>5 a</w:t>
      </w:r>
      <w:r w:rsidR="0095313C" w:rsidRPr="00DF3EFF">
        <w:rPr>
          <w:rFonts w:cs="Arial"/>
          <w:lang w:val="en-GB"/>
        </w:rPr>
        <w:t>fter</w:t>
      </w:r>
      <w:r w:rsidRPr="00DF3EFF">
        <w:rPr>
          <w:rFonts w:cs="Arial"/>
          <w:lang w:val="en-GB"/>
        </w:rPr>
        <w:t xml:space="preserve"> </w:t>
      </w:r>
      <w:r w:rsidR="00F8720D" w:rsidRPr="00DF3EFF">
        <w:rPr>
          <w:rFonts w:cs="Arial"/>
          <w:lang w:val="en-GB"/>
        </w:rPr>
        <w:t>inclusion</w:t>
      </w:r>
    </w:p>
    <w:p w14:paraId="0D5414FC" w14:textId="1EB648D6" w:rsidR="00C45B0F" w:rsidRPr="00DF3EFF" w:rsidRDefault="00C45B0F" w:rsidP="004A25B7">
      <w:pPr>
        <w:numPr>
          <w:ilvl w:val="0"/>
          <w:numId w:val="5"/>
        </w:numPr>
        <w:rPr>
          <w:rFonts w:cs="Arial"/>
          <w:lang w:val="en-GB"/>
        </w:rPr>
      </w:pPr>
      <w:r w:rsidRPr="00DF3EFF">
        <w:rPr>
          <w:rFonts w:cs="Arial"/>
          <w:lang w:val="en-GB"/>
        </w:rPr>
        <w:lastRenderedPageBreak/>
        <w:t xml:space="preserve">Renal function (acute kidney injury stages according to </w:t>
      </w:r>
      <w:r w:rsidR="00E726B8" w:rsidRPr="00DF3EFF">
        <w:rPr>
          <w:rFonts w:cs="Arial"/>
          <w:lang w:val="en-GB"/>
        </w:rPr>
        <w:t xml:space="preserve">Kidney Disease Improving Global Outcomes </w:t>
      </w:r>
      <w:r w:rsidR="0026685D" w:rsidRPr="00DF3EFF">
        <w:rPr>
          <w:rFonts w:cs="Arial"/>
          <w:lang w:val="en-GB"/>
        </w:rPr>
        <w:t>[</w:t>
      </w:r>
      <w:r w:rsidRPr="00DF3EFF">
        <w:rPr>
          <w:rFonts w:cs="Arial"/>
          <w:lang w:val="en-GB"/>
        </w:rPr>
        <w:t>KDIGO</w:t>
      </w:r>
      <w:r w:rsidR="0026685D" w:rsidRPr="00DF3EFF">
        <w:rPr>
          <w:rFonts w:cs="Arial"/>
          <w:lang w:val="en-GB"/>
        </w:rPr>
        <w:t>]</w:t>
      </w:r>
      <w:r w:rsidR="00F633B4" w:rsidRPr="00DF3EFF">
        <w:rPr>
          <w:rFonts w:cs="Arial"/>
          <w:lang w:val="en-GB"/>
        </w:rPr>
        <w:t xml:space="preserve"> criteria</w:t>
      </w:r>
      <w:r w:rsidRPr="00DF3EFF">
        <w:rPr>
          <w:rFonts w:cs="Arial"/>
          <w:lang w:val="en-GB"/>
        </w:rPr>
        <w:t xml:space="preserve"> and days alive and free of renal replacement therapy </w:t>
      </w:r>
      <w:r w:rsidR="0026685D" w:rsidRPr="00DF3EFF">
        <w:rPr>
          <w:rFonts w:cs="Arial"/>
          <w:lang w:val="en-GB"/>
        </w:rPr>
        <w:t>[</w:t>
      </w:r>
      <w:r w:rsidRPr="00DF3EFF">
        <w:rPr>
          <w:rFonts w:cs="Arial"/>
          <w:lang w:val="en-GB"/>
        </w:rPr>
        <w:t>RRT</w:t>
      </w:r>
      <w:r w:rsidR="0026685D" w:rsidRPr="00DF3EFF">
        <w:rPr>
          <w:rFonts w:cs="Arial"/>
          <w:lang w:val="en-GB"/>
        </w:rPr>
        <w:t>]</w:t>
      </w:r>
      <w:r w:rsidRPr="00DF3EFF">
        <w:rPr>
          <w:rFonts w:cs="Arial"/>
          <w:lang w:val="en-GB"/>
        </w:rPr>
        <w:t xml:space="preserve"> within 90-days </w:t>
      </w:r>
      <w:r w:rsidR="0095313C" w:rsidRPr="00DF3EFF">
        <w:rPr>
          <w:rFonts w:cs="Arial"/>
          <w:lang w:val="en-GB"/>
        </w:rPr>
        <w:t>of</w:t>
      </w:r>
      <w:r w:rsidRPr="00DF3EFF">
        <w:rPr>
          <w:rFonts w:cs="Arial"/>
          <w:lang w:val="en-GB"/>
        </w:rPr>
        <w:t xml:space="preserve"> </w:t>
      </w:r>
      <w:r w:rsidR="00F8720D" w:rsidRPr="00DF3EFF">
        <w:rPr>
          <w:rFonts w:cs="Arial"/>
          <w:lang w:val="en-GB"/>
        </w:rPr>
        <w:t>inclusion</w:t>
      </w:r>
      <w:r w:rsidRPr="00DF3EFF">
        <w:rPr>
          <w:rFonts w:cs="Arial"/>
          <w:lang w:val="en-GB"/>
        </w:rPr>
        <w:t>)</w:t>
      </w:r>
      <w:r w:rsidR="000D2E09" w:rsidRPr="00DF3EFF">
        <w:rPr>
          <w:color w:val="000000" w:themeColor="text1"/>
          <w:lang w:val="en-GB"/>
        </w:rPr>
        <w:t xml:space="preserve"> [Kellum</w:t>
      </w:r>
      <w:r w:rsidR="00040F3F">
        <w:rPr>
          <w:color w:val="000000" w:themeColor="text1"/>
          <w:lang w:val="en-GB"/>
        </w:rPr>
        <w:t xml:space="preserve"> </w:t>
      </w:r>
      <w:r w:rsidR="000D2E09" w:rsidRPr="00DF3EFF">
        <w:rPr>
          <w:color w:val="000000" w:themeColor="text1"/>
          <w:lang w:val="en-GB"/>
        </w:rPr>
        <w:t>2013]</w:t>
      </w:r>
    </w:p>
    <w:p w14:paraId="6DB5C30A" w14:textId="684D04B8" w:rsidR="00C45B0F" w:rsidRPr="00DF3EFF" w:rsidRDefault="00C45B0F" w:rsidP="004A25B7">
      <w:pPr>
        <w:numPr>
          <w:ilvl w:val="0"/>
          <w:numId w:val="5"/>
        </w:numPr>
        <w:rPr>
          <w:rFonts w:cs="Arial"/>
          <w:lang w:val="en-GB"/>
        </w:rPr>
      </w:pPr>
      <w:r w:rsidRPr="00DF3EFF">
        <w:rPr>
          <w:rFonts w:cs="Arial"/>
          <w:lang w:val="en-GB"/>
        </w:rPr>
        <w:t xml:space="preserve">Gastrointestinal function (days alive with full enteral nutrition within 90 days </w:t>
      </w:r>
      <w:r w:rsidR="00DF27DA" w:rsidRPr="00DF3EFF">
        <w:rPr>
          <w:rFonts w:cs="Arial"/>
          <w:lang w:val="en-GB"/>
        </w:rPr>
        <w:t>of</w:t>
      </w:r>
      <w:r w:rsidRPr="00DF3EFF">
        <w:rPr>
          <w:rFonts w:cs="Arial"/>
          <w:lang w:val="en-GB"/>
        </w:rPr>
        <w:t xml:space="preserve"> </w:t>
      </w:r>
      <w:r w:rsidR="00F8720D" w:rsidRPr="00DF3EFF">
        <w:rPr>
          <w:rFonts w:cs="Arial"/>
          <w:lang w:val="en-GB"/>
        </w:rPr>
        <w:t>inclusion</w:t>
      </w:r>
      <w:r w:rsidRPr="00DF3EFF">
        <w:rPr>
          <w:rFonts w:cs="Arial"/>
          <w:lang w:val="en-GB"/>
        </w:rPr>
        <w:t>)</w:t>
      </w:r>
    </w:p>
    <w:p w14:paraId="6760BE1F" w14:textId="3459DFAC" w:rsidR="00355FDE" w:rsidRPr="00DF3EFF" w:rsidRDefault="00C45B0F" w:rsidP="004A25B7">
      <w:pPr>
        <w:numPr>
          <w:ilvl w:val="0"/>
          <w:numId w:val="5"/>
        </w:numPr>
        <w:rPr>
          <w:rFonts w:cs="Arial"/>
          <w:lang w:val="en-GB"/>
        </w:rPr>
      </w:pPr>
      <w:r w:rsidRPr="00DF3EFF">
        <w:rPr>
          <w:rFonts w:cs="Arial"/>
          <w:lang w:val="en-GB"/>
        </w:rPr>
        <w:t>Total volume of resuscitation fluid a</w:t>
      </w:r>
      <w:r w:rsidR="00A82E22" w:rsidRPr="00DF3EFF">
        <w:rPr>
          <w:rFonts w:cs="Arial"/>
          <w:lang w:val="en-GB"/>
        </w:rPr>
        <w:t>dministered up to</w:t>
      </w:r>
      <w:r w:rsidRPr="00DF3EFF">
        <w:rPr>
          <w:rFonts w:cs="Arial"/>
          <w:lang w:val="en-GB"/>
        </w:rPr>
        <w:t xml:space="preserve"> day</w:t>
      </w:r>
      <w:r w:rsidR="00A215B3">
        <w:rPr>
          <w:rFonts w:cs="Arial"/>
          <w:lang w:val="en-GB"/>
        </w:rPr>
        <w:t>s</w:t>
      </w:r>
      <w:r w:rsidRPr="00DF3EFF">
        <w:rPr>
          <w:rFonts w:cs="Arial"/>
          <w:lang w:val="en-GB"/>
        </w:rPr>
        <w:t xml:space="preserve"> 3 and</w:t>
      </w:r>
      <w:r w:rsidR="00A82E22" w:rsidRPr="00DF3EFF">
        <w:rPr>
          <w:rFonts w:cs="Arial"/>
          <w:lang w:val="en-GB"/>
        </w:rPr>
        <w:t xml:space="preserve"> </w:t>
      </w:r>
      <w:r w:rsidRPr="00DF3EFF">
        <w:rPr>
          <w:rFonts w:cs="Arial"/>
          <w:lang w:val="en-GB"/>
        </w:rPr>
        <w:t xml:space="preserve">5 after </w:t>
      </w:r>
      <w:r w:rsidR="00F8720D" w:rsidRPr="00DF3EFF">
        <w:rPr>
          <w:rFonts w:cs="Arial"/>
          <w:lang w:val="en-GB"/>
        </w:rPr>
        <w:t>inclusion</w:t>
      </w:r>
      <w:r w:rsidR="006369D5" w:rsidRPr="00DF3EFF">
        <w:rPr>
          <w:rFonts w:cs="Arial"/>
          <w:lang w:val="en-GB"/>
        </w:rPr>
        <w:t xml:space="preserve"> </w:t>
      </w:r>
    </w:p>
    <w:p w14:paraId="638014F5" w14:textId="0ECE18C4" w:rsidR="00C45B0F" w:rsidRPr="00DF3EFF" w:rsidRDefault="00C45B0F" w:rsidP="004A25B7">
      <w:pPr>
        <w:numPr>
          <w:ilvl w:val="0"/>
          <w:numId w:val="5"/>
        </w:numPr>
        <w:rPr>
          <w:rFonts w:cs="Arial"/>
          <w:lang w:val="en-GB"/>
        </w:rPr>
      </w:pPr>
      <w:r w:rsidRPr="00DF3EFF">
        <w:rPr>
          <w:rFonts w:cs="Arial"/>
          <w:lang w:val="en-GB"/>
        </w:rPr>
        <w:t>Cumulative fluid balance at day</w:t>
      </w:r>
      <w:r w:rsidR="00A215B3">
        <w:rPr>
          <w:rFonts w:cs="Arial"/>
          <w:lang w:val="en-GB"/>
        </w:rPr>
        <w:t>s</w:t>
      </w:r>
      <w:r w:rsidRPr="00DF3EFF">
        <w:rPr>
          <w:rFonts w:cs="Arial"/>
          <w:lang w:val="en-GB"/>
        </w:rPr>
        <w:t xml:space="preserve"> 3 and 5 after </w:t>
      </w:r>
      <w:r w:rsidR="00F8720D" w:rsidRPr="00DF3EFF">
        <w:rPr>
          <w:rFonts w:cs="Arial"/>
          <w:lang w:val="en-GB"/>
        </w:rPr>
        <w:t>inclusion</w:t>
      </w:r>
      <w:r w:rsidRPr="00DF3EFF">
        <w:rPr>
          <w:rFonts w:cs="Arial"/>
          <w:lang w:val="en-GB"/>
        </w:rPr>
        <w:t xml:space="preserve"> (excluding evaporation)</w:t>
      </w:r>
    </w:p>
    <w:p w14:paraId="43B0F85C" w14:textId="2B955AD5" w:rsidR="00C45B0F" w:rsidRPr="00DF3EFF" w:rsidRDefault="00C45B0F" w:rsidP="004A25B7">
      <w:pPr>
        <w:numPr>
          <w:ilvl w:val="0"/>
          <w:numId w:val="5"/>
        </w:numPr>
        <w:rPr>
          <w:rFonts w:cs="Arial"/>
          <w:lang w:val="en-GB"/>
        </w:rPr>
      </w:pPr>
      <w:r w:rsidRPr="00DF3EFF">
        <w:rPr>
          <w:rFonts w:cs="Arial"/>
          <w:lang w:val="en-GB"/>
        </w:rPr>
        <w:t>D</w:t>
      </w:r>
      <w:r w:rsidR="00F22E52" w:rsidRPr="00DF3EFF">
        <w:rPr>
          <w:rFonts w:cs="Arial"/>
          <w:lang w:val="en-GB"/>
        </w:rPr>
        <w:t>aily d</w:t>
      </w:r>
      <w:r w:rsidRPr="00DF3EFF">
        <w:rPr>
          <w:rFonts w:cs="Arial"/>
          <w:lang w:val="en-GB"/>
        </w:rPr>
        <w:t xml:space="preserve">ose </w:t>
      </w:r>
      <w:r w:rsidR="00F22E52" w:rsidRPr="00DF3EFF">
        <w:rPr>
          <w:rFonts w:cs="Arial"/>
          <w:lang w:val="en-GB"/>
        </w:rPr>
        <w:t>and type of</w:t>
      </w:r>
      <w:r w:rsidR="00FE6427" w:rsidRPr="00DF3EFF">
        <w:rPr>
          <w:rFonts w:cs="Arial"/>
          <w:lang w:val="en-GB"/>
        </w:rPr>
        <w:t xml:space="preserve"> diuretics</w:t>
      </w:r>
      <w:r w:rsidRPr="00DF3EFF">
        <w:rPr>
          <w:rFonts w:cs="Arial"/>
          <w:lang w:val="en-GB"/>
        </w:rPr>
        <w:t xml:space="preserve"> </w:t>
      </w:r>
      <w:r w:rsidR="00A82E22" w:rsidRPr="00DF3EFF">
        <w:rPr>
          <w:rFonts w:cs="Arial"/>
          <w:lang w:val="en-GB"/>
        </w:rPr>
        <w:t xml:space="preserve">administered </w:t>
      </w:r>
      <w:r w:rsidRPr="00DF3EFF">
        <w:rPr>
          <w:rFonts w:cs="Arial"/>
          <w:lang w:val="en-GB"/>
        </w:rPr>
        <w:t xml:space="preserve">during the first 5 days after </w:t>
      </w:r>
      <w:r w:rsidR="00F8720D" w:rsidRPr="00DF3EFF">
        <w:rPr>
          <w:rFonts w:cs="Arial"/>
          <w:lang w:val="en-GB"/>
        </w:rPr>
        <w:t>inclusion</w:t>
      </w:r>
    </w:p>
    <w:p w14:paraId="7734B6D6" w14:textId="5A30D95B" w:rsidR="00C45B0F" w:rsidRPr="00DF3EFF" w:rsidRDefault="00C45B0F" w:rsidP="004A25B7">
      <w:pPr>
        <w:numPr>
          <w:ilvl w:val="0"/>
          <w:numId w:val="5"/>
        </w:numPr>
        <w:rPr>
          <w:rFonts w:cs="Arial"/>
          <w:lang w:val="en-GB"/>
        </w:rPr>
      </w:pPr>
      <w:r w:rsidRPr="00DF3EFF">
        <w:rPr>
          <w:rFonts w:cs="Arial"/>
          <w:lang w:val="en-GB"/>
        </w:rPr>
        <w:t xml:space="preserve">Hemodynamic stability during the first 5 days after </w:t>
      </w:r>
      <w:r w:rsidR="00F8720D" w:rsidRPr="00DF3EFF">
        <w:rPr>
          <w:rFonts w:cs="Arial"/>
          <w:lang w:val="en-GB"/>
        </w:rPr>
        <w:t>inclusion</w:t>
      </w:r>
      <w:r w:rsidRPr="00DF3EFF">
        <w:rPr>
          <w:rFonts w:cs="Arial"/>
          <w:lang w:val="en-GB"/>
        </w:rPr>
        <w:t xml:space="preserve"> (daily highest dose of noradrenaline, daily lactate, and cardiovascular sequential organ failure assessment </w:t>
      </w:r>
      <w:r w:rsidR="0026685D" w:rsidRPr="00DF3EFF">
        <w:rPr>
          <w:rFonts w:cs="Arial"/>
          <w:lang w:val="en-GB"/>
        </w:rPr>
        <w:t>[</w:t>
      </w:r>
      <w:r w:rsidRPr="00DF3EFF">
        <w:rPr>
          <w:rFonts w:cs="Arial"/>
          <w:lang w:val="en-GB"/>
        </w:rPr>
        <w:t>SOFA</w:t>
      </w:r>
      <w:r w:rsidR="0026685D" w:rsidRPr="00DF3EFF">
        <w:rPr>
          <w:rFonts w:cs="Arial"/>
          <w:lang w:val="en-GB"/>
        </w:rPr>
        <w:t>]</w:t>
      </w:r>
      <w:r w:rsidRPr="00DF3EFF">
        <w:rPr>
          <w:rFonts w:cs="Arial"/>
          <w:lang w:val="en-GB"/>
        </w:rPr>
        <w:t xml:space="preserve"> score)</w:t>
      </w:r>
    </w:p>
    <w:p w14:paraId="41F42CE4" w14:textId="3CEAC7F6" w:rsidR="00355FDE" w:rsidRPr="00DF3EFF" w:rsidRDefault="00A056EE" w:rsidP="004A25B7">
      <w:pPr>
        <w:pStyle w:val="Listeafsnit"/>
        <w:numPr>
          <w:ilvl w:val="0"/>
          <w:numId w:val="5"/>
        </w:numPr>
        <w:rPr>
          <w:rFonts w:cs="Arial"/>
          <w:lang w:val="en-GB"/>
        </w:rPr>
      </w:pPr>
      <w:r w:rsidRPr="00DF3EFF">
        <w:rPr>
          <w:rFonts w:cs="Arial"/>
          <w:lang w:val="en-GB"/>
        </w:rPr>
        <w:t xml:space="preserve">Functional outcome </w:t>
      </w:r>
      <w:r w:rsidR="008C36CF" w:rsidRPr="00DF3EFF">
        <w:rPr>
          <w:rFonts w:cs="Arial"/>
          <w:lang w:val="en-GB"/>
        </w:rPr>
        <w:t xml:space="preserve">measured </w:t>
      </w:r>
      <w:r w:rsidRPr="00DF3EFF">
        <w:rPr>
          <w:rFonts w:cs="Arial"/>
          <w:lang w:val="en-GB"/>
        </w:rPr>
        <w:t xml:space="preserve">by the </w:t>
      </w:r>
      <w:r w:rsidR="007C4E36" w:rsidRPr="00DF3EFF">
        <w:rPr>
          <w:rFonts w:cs="Arial"/>
          <w:lang w:val="en-GB"/>
        </w:rPr>
        <w:t>Glasgow Outcome Scale Extended (</w:t>
      </w:r>
      <w:r w:rsidR="00355FDE" w:rsidRPr="00DF3EFF">
        <w:rPr>
          <w:rFonts w:cs="Arial"/>
          <w:lang w:val="en-GB"/>
        </w:rPr>
        <w:t>GOSE</w:t>
      </w:r>
      <w:r w:rsidR="007C4E36" w:rsidRPr="00DF3EFF">
        <w:rPr>
          <w:rFonts w:cs="Arial"/>
          <w:lang w:val="en-GB"/>
        </w:rPr>
        <w:t>)</w:t>
      </w:r>
      <w:r w:rsidR="00355FDE" w:rsidRPr="00DF3EFF">
        <w:rPr>
          <w:rFonts w:cs="Arial"/>
          <w:lang w:val="en-GB"/>
        </w:rPr>
        <w:t xml:space="preserve"> at 6 months</w:t>
      </w:r>
      <w:r w:rsidR="00F8720D" w:rsidRPr="00DF3EFF">
        <w:rPr>
          <w:rFonts w:cs="Arial"/>
          <w:lang w:val="en-GB"/>
        </w:rPr>
        <w:t xml:space="preserve"> after inclusion</w:t>
      </w:r>
      <w:r w:rsidR="000D2E09" w:rsidRPr="00DF3EFF">
        <w:rPr>
          <w:rFonts w:cs="Arial"/>
          <w:lang w:val="en-GB"/>
        </w:rPr>
        <w:t xml:space="preserve"> </w:t>
      </w:r>
      <w:r w:rsidR="000D2E09" w:rsidRPr="00DF3EFF">
        <w:rPr>
          <w:color w:val="000000" w:themeColor="text1"/>
          <w:lang w:val="en-GB"/>
        </w:rPr>
        <w:t>(Wilson 1998, Wilson 2021)</w:t>
      </w:r>
    </w:p>
    <w:p w14:paraId="2E40F718" w14:textId="77777777" w:rsidR="00C45B0F" w:rsidRPr="00DF3EFF" w:rsidRDefault="00C45B0F" w:rsidP="005D4D88">
      <w:pPr>
        <w:rPr>
          <w:rFonts w:cs="Arial"/>
          <w:lang w:val="en-GB"/>
        </w:rPr>
      </w:pPr>
    </w:p>
    <w:p w14:paraId="3BB4EF0D" w14:textId="124C7E49" w:rsidR="00C45B0F" w:rsidRPr="00DF3EFF" w:rsidRDefault="00C45B0F" w:rsidP="005D4D88">
      <w:pPr>
        <w:rPr>
          <w:rFonts w:cs="Times New Roman"/>
          <w:color w:val="000000" w:themeColor="text1"/>
          <w:lang w:val="en-GB"/>
        </w:rPr>
      </w:pPr>
      <w:r w:rsidRPr="00DF3EFF">
        <w:rPr>
          <w:rFonts w:cs="Times New Roman"/>
          <w:color w:val="000000" w:themeColor="text1"/>
          <w:lang w:val="en-GB"/>
        </w:rPr>
        <w:t>De</w:t>
      </w:r>
      <w:r w:rsidR="000972B0" w:rsidRPr="00DF3EFF">
        <w:rPr>
          <w:rFonts w:cs="Times New Roman"/>
          <w:color w:val="000000" w:themeColor="text1"/>
          <w:lang w:val="en-GB"/>
        </w:rPr>
        <w:t>scription</w:t>
      </w:r>
      <w:r w:rsidR="00040F3F">
        <w:rPr>
          <w:rFonts w:cs="Times New Roman"/>
          <w:color w:val="000000" w:themeColor="text1"/>
          <w:lang w:val="en-GB"/>
        </w:rPr>
        <w:t>s</w:t>
      </w:r>
      <w:r w:rsidRPr="00DF3EFF">
        <w:rPr>
          <w:rFonts w:cs="Times New Roman"/>
          <w:color w:val="000000" w:themeColor="text1"/>
          <w:lang w:val="en-GB"/>
        </w:rPr>
        <w:t xml:space="preserve"> of all outcomes </w:t>
      </w:r>
      <w:r w:rsidR="00A63266" w:rsidRPr="00DF3EFF">
        <w:rPr>
          <w:rFonts w:cs="Times New Roman"/>
          <w:color w:val="000000" w:themeColor="text1"/>
          <w:lang w:val="en-GB"/>
        </w:rPr>
        <w:t>are</w:t>
      </w:r>
      <w:r w:rsidRPr="00DF3EFF">
        <w:rPr>
          <w:rFonts w:cs="Times New Roman"/>
          <w:color w:val="000000" w:themeColor="text1"/>
          <w:lang w:val="en-GB"/>
        </w:rPr>
        <w:t xml:space="preserve"> provided in </w:t>
      </w:r>
      <w:r w:rsidR="00096F53" w:rsidRPr="00DF3EFF">
        <w:rPr>
          <w:rFonts w:cs="Times New Roman"/>
          <w:b/>
          <w:bCs/>
          <w:color w:val="000000" w:themeColor="text1"/>
          <w:lang w:val="en-GB"/>
        </w:rPr>
        <w:t>Table 1</w:t>
      </w:r>
      <w:r w:rsidRPr="00DF3EFF">
        <w:rPr>
          <w:rFonts w:cs="Times New Roman"/>
          <w:color w:val="000000" w:themeColor="text1"/>
          <w:lang w:val="en-GB"/>
        </w:rPr>
        <w:t xml:space="preserve">. </w:t>
      </w:r>
    </w:p>
    <w:p w14:paraId="59191159" w14:textId="41408937" w:rsidR="009D5632" w:rsidRPr="00DF3EFF" w:rsidRDefault="009D5632" w:rsidP="009D5632">
      <w:pPr>
        <w:pStyle w:val="Overskrift2"/>
        <w:rPr>
          <w:rStyle w:val="Overskrift3Tegn"/>
        </w:rPr>
      </w:pPr>
      <w:r w:rsidRPr="00DF3EFF">
        <w:t>Terminology</w:t>
      </w:r>
    </w:p>
    <w:p w14:paraId="0016E2F0" w14:textId="659913A6" w:rsidR="009D5632" w:rsidRPr="00DF3EFF" w:rsidRDefault="009D5632" w:rsidP="009D5632">
      <w:pPr>
        <w:rPr>
          <w:rFonts w:cs="Times New Roman"/>
          <w:color w:val="000000" w:themeColor="text1"/>
          <w:lang w:val="en-GB"/>
        </w:rPr>
      </w:pPr>
      <w:bookmarkStart w:id="10" w:name="_Toc104540069"/>
      <w:r w:rsidRPr="00DF3EFF">
        <w:rPr>
          <w:rStyle w:val="Overskrift3Tegn"/>
        </w:rPr>
        <w:t>Days</w:t>
      </w:r>
      <w:bookmarkEnd w:id="10"/>
      <w:r w:rsidRPr="00DF3EFF">
        <w:rPr>
          <w:rFonts w:cs="Times New Roman"/>
          <w:color w:val="000000" w:themeColor="text1"/>
          <w:lang w:val="en-GB"/>
        </w:rPr>
        <w:t xml:space="preserve">: Day 0 is from </w:t>
      </w:r>
      <w:r w:rsidR="008C36CF" w:rsidRPr="00DF3EFF">
        <w:rPr>
          <w:rFonts w:cs="Times New Roman"/>
          <w:color w:val="000000" w:themeColor="text1"/>
          <w:lang w:val="en-GB"/>
        </w:rPr>
        <w:t xml:space="preserve">the </w:t>
      </w:r>
      <w:r w:rsidRPr="00DF3EFF">
        <w:rPr>
          <w:rFonts w:cs="Times New Roman"/>
          <w:color w:val="000000" w:themeColor="text1"/>
          <w:lang w:val="en-GB"/>
        </w:rPr>
        <w:t xml:space="preserve">time of randomisation to the start of a new 24-hour period per </w:t>
      </w:r>
      <w:r w:rsidR="008C36CF" w:rsidRPr="00DF3EFF">
        <w:rPr>
          <w:rFonts w:cs="Times New Roman"/>
          <w:color w:val="000000" w:themeColor="text1"/>
          <w:lang w:val="en-GB"/>
        </w:rPr>
        <w:t xml:space="preserve">the </w:t>
      </w:r>
      <w:r w:rsidRPr="00DF3EFF">
        <w:rPr>
          <w:rFonts w:cs="Times New Roman"/>
          <w:color w:val="000000" w:themeColor="text1"/>
          <w:lang w:val="en-GB"/>
        </w:rPr>
        <w:t>local protocol</w:t>
      </w:r>
      <w:r w:rsidR="008C36CF" w:rsidRPr="00DF3EFF">
        <w:rPr>
          <w:rFonts w:cs="Times New Roman"/>
          <w:color w:val="000000" w:themeColor="text1"/>
          <w:lang w:val="en-GB"/>
        </w:rPr>
        <w:t xml:space="preserve"> at each site</w:t>
      </w:r>
      <w:r w:rsidRPr="00DF3EFF">
        <w:rPr>
          <w:rFonts w:cs="Times New Roman"/>
          <w:color w:val="000000" w:themeColor="text1"/>
          <w:lang w:val="en-GB"/>
        </w:rPr>
        <w:t xml:space="preserve">. Day 1 is the next 24-hour period. </w:t>
      </w:r>
      <w:r w:rsidR="008C36CF" w:rsidRPr="00DF3EFF">
        <w:rPr>
          <w:rFonts w:cs="Times New Roman"/>
          <w:color w:val="000000" w:themeColor="text1"/>
          <w:lang w:val="en-GB"/>
        </w:rPr>
        <w:t>The l</w:t>
      </w:r>
      <w:r w:rsidRPr="00DF3EFF">
        <w:rPr>
          <w:rFonts w:cs="Times New Roman"/>
          <w:color w:val="000000" w:themeColor="text1"/>
          <w:lang w:val="en-GB"/>
        </w:rPr>
        <w:t>ast day of ICU stay is</w:t>
      </w:r>
      <w:r w:rsidR="008C36CF" w:rsidRPr="00DF3EFF">
        <w:rPr>
          <w:rFonts w:cs="Times New Roman"/>
          <w:color w:val="000000" w:themeColor="text1"/>
          <w:lang w:val="en-GB"/>
        </w:rPr>
        <w:t xml:space="preserve"> the length of time</w:t>
      </w:r>
      <w:r w:rsidRPr="00DF3EFF">
        <w:rPr>
          <w:rFonts w:cs="Times New Roman"/>
          <w:color w:val="000000" w:themeColor="text1"/>
          <w:lang w:val="en-GB"/>
        </w:rPr>
        <w:t xml:space="preserve"> from </w:t>
      </w:r>
      <w:r w:rsidR="008C36CF" w:rsidRPr="00DF3EFF">
        <w:rPr>
          <w:rFonts w:cs="Times New Roman"/>
          <w:color w:val="000000" w:themeColor="text1"/>
          <w:lang w:val="en-GB"/>
        </w:rPr>
        <w:t xml:space="preserve">the </w:t>
      </w:r>
      <w:r w:rsidRPr="00DF3EFF">
        <w:rPr>
          <w:rFonts w:cs="Times New Roman"/>
          <w:color w:val="000000" w:themeColor="text1"/>
          <w:lang w:val="en-GB"/>
        </w:rPr>
        <w:t xml:space="preserve">start of </w:t>
      </w:r>
      <w:r w:rsidR="008C36CF" w:rsidRPr="00DF3EFF">
        <w:rPr>
          <w:rFonts w:cs="Times New Roman"/>
          <w:color w:val="000000" w:themeColor="text1"/>
          <w:lang w:val="en-GB"/>
        </w:rPr>
        <w:t xml:space="preserve">a </w:t>
      </w:r>
      <w:r w:rsidRPr="00DF3EFF">
        <w:rPr>
          <w:rFonts w:cs="Times New Roman"/>
          <w:color w:val="000000" w:themeColor="text1"/>
          <w:lang w:val="en-GB"/>
        </w:rPr>
        <w:t xml:space="preserve">new 24-hour period per local protocol until </w:t>
      </w:r>
      <w:r w:rsidR="008C36CF" w:rsidRPr="00DF3EFF">
        <w:rPr>
          <w:rFonts w:cs="Times New Roman"/>
          <w:color w:val="000000" w:themeColor="text1"/>
          <w:lang w:val="en-GB"/>
        </w:rPr>
        <w:t xml:space="preserve">the time of </w:t>
      </w:r>
      <w:r w:rsidRPr="00DF3EFF">
        <w:rPr>
          <w:rFonts w:cs="Times New Roman"/>
          <w:color w:val="000000" w:themeColor="text1"/>
          <w:lang w:val="en-GB"/>
        </w:rPr>
        <w:t xml:space="preserve">discharge. </w:t>
      </w:r>
    </w:p>
    <w:p w14:paraId="061E9070" w14:textId="7120A9AD" w:rsidR="009D5632" w:rsidRPr="00F4152A" w:rsidRDefault="009D5632" w:rsidP="009D5632">
      <w:pPr>
        <w:rPr>
          <w:lang w:val="en-GB"/>
        </w:rPr>
      </w:pPr>
      <w:r w:rsidRPr="00F4152A">
        <w:rPr>
          <w:u w:val="single"/>
          <w:lang w:val="en-GB"/>
        </w:rPr>
        <w:t>Fluid</w:t>
      </w:r>
      <w:r w:rsidR="00167F49" w:rsidRPr="00F4152A">
        <w:rPr>
          <w:u w:val="single"/>
          <w:lang w:val="en-GB"/>
        </w:rPr>
        <w:t xml:space="preserve"> balance</w:t>
      </w:r>
      <w:r w:rsidRPr="00F4152A">
        <w:rPr>
          <w:u w:val="single"/>
          <w:lang w:val="en-GB"/>
        </w:rPr>
        <w:t>:</w:t>
      </w:r>
      <w:r w:rsidRPr="00F4152A">
        <w:rPr>
          <w:lang w:val="en-GB"/>
        </w:rPr>
        <w:t xml:space="preserve"> Fluid balance will be calculated as </w:t>
      </w:r>
      <w:r w:rsidR="00E55293" w:rsidRPr="00F4152A">
        <w:rPr>
          <w:lang w:val="en-GB"/>
        </w:rPr>
        <w:t xml:space="preserve">the </w:t>
      </w:r>
      <w:r w:rsidRPr="00F4152A">
        <w:rPr>
          <w:lang w:val="en-GB"/>
        </w:rPr>
        <w:t>sum of all enteral and parenteral fluid</w:t>
      </w:r>
      <w:r w:rsidR="00F4152A">
        <w:rPr>
          <w:lang w:val="en-GB"/>
        </w:rPr>
        <w:t xml:space="preserve"> input</w:t>
      </w:r>
      <w:r w:rsidRPr="00F4152A">
        <w:rPr>
          <w:lang w:val="en-GB"/>
        </w:rPr>
        <w:t xml:space="preserve"> minus all measured losses. Estimated loss through evaporation will not be included in </w:t>
      </w:r>
      <w:r w:rsidR="00E55293" w:rsidRPr="00F4152A">
        <w:rPr>
          <w:lang w:val="en-GB"/>
        </w:rPr>
        <w:t xml:space="preserve">the </w:t>
      </w:r>
      <w:r w:rsidRPr="00F4152A">
        <w:rPr>
          <w:lang w:val="en-GB"/>
        </w:rPr>
        <w:t xml:space="preserve">fluid balance.  Stool will not be included in </w:t>
      </w:r>
      <w:r w:rsidR="00DF3EFF">
        <w:rPr>
          <w:lang w:val="en-GB"/>
        </w:rPr>
        <w:t xml:space="preserve">the fluid </w:t>
      </w:r>
      <w:r w:rsidRPr="00F4152A">
        <w:rPr>
          <w:lang w:val="en-GB"/>
        </w:rPr>
        <w:t>balance unless the pa</w:t>
      </w:r>
      <w:r w:rsidR="00E55293" w:rsidRPr="00F4152A">
        <w:rPr>
          <w:lang w:val="en-GB"/>
        </w:rPr>
        <w:t>r</w:t>
      </w:r>
      <w:r w:rsidRPr="00F4152A">
        <w:rPr>
          <w:lang w:val="en-GB"/>
        </w:rPr>
        <w:t xml:space="preserve">ticipant has a faecal management system or similar device in place. </w:t>
      </w:r>
    </w:p>
    <w:p w14:paraId="25380525" w14:textId="268C9126" w:rsidR="009D5632" w:rsidRPr="00DF3EFF" w:rsidRDefault="009D5632" w:rsidP="009D5632">
      <w:pPr>
        <w:rPr>
          <w:rFonts w:cs="Times New Roman"/>
          <w:color w:val="000000" w:themeColor="text1"/>
          <w:lang w:val="en-GB"/>
        </w:rPr>
      </w:pPr>
      <w:r w:rsidRPr="00DF3EFF">
        <w:rPr>
          <w:rFonts w:cs="Times New Roman"/>
          <w:color w:val="000000" w:themeColor="text1"/>
          <w:u w:val="single"/>
          <w:lang w:val="en-GB"/>
        </w:rPr>
        <w:t>Crystalloids</w:t>
      </w:r>
      <w:r w:rsidRPr="00DF3EFF">
        <w:rPr>
          <w:rFonts w:cs="Times New Roman"/>
          <w:color w:val="000000" w:themeColor="text1"/>
          <w:lang w:val="en-GB"/>
        </w:rPr>
        <w:t xml:space="preserve"> will be classified as resuscitation fluids if administered to correct hemodynamic impairment as noted in the patient</w:t>
      </w:r>
      <w:r w:rsidR="00DF3EFF">
        <w:rPr>
          <w:rFonts w:cs="Times New Roman"/>
          <w:color w:val="000000" w:themeColor="text1"/>
          <w:lang w:val="en-GB"/>
        </w:rPr>
        <w:t>’s medical</w:t>
      </w:r>
      <w:r w:rsidRPr="00DF3EFF">
        <w:rPr>
          <w:rFonts w:cs="Times New Roman"/>
          <w:color w:val="000000" w:themeColor="text1"/>
          <w:lang w:val="en-GB"/>
        </w:rPr>
        <w:t xml:space="preserve"> chart</w:t>
      </w:r>
      <w:r w:rsidR="00DF3EFF">
        <w:rPr>
          <w:rFonts w:cs="Times New Roman"/>
          <w:color w:val="000000" w:themeColor="text1"/>
          <w:lang w:val="en-GB"/>
        </w:rPr>
        <w:t>s</w:t>
      </w:r>
      <w:r w:rsidRPr="00DF3EFF">
        <w:rPr>
          <w:rFonts w:cs="Times New Roman"/>
          <w:color w:val="000000" w:themeColor="text1"/>
          <w:lang w:val="en-GB"/>
        </w:rPr>
        <w:t xml:space="preserve"> or</w:t>
      </w:r>
      <w:r w:rsidR="00DF3EFF">
        <w:rPr>
          <w:rFonts w:cs="Times New Roman"/>
          <w:color w:val="000000" w:themeColor="text1"/>
          <w:lang w:val="en-GB"/>
        </w:rPr>
        <w:t xml:space="preserve"> if</w:t>
      </w:r>
      <w:r w:rsidRPr="00DF3EFF">
        <w:rPr>
          <w:rFonts w:cs="Times New Roman"/>
          <w:color w:val="000000" w:themeColor="text1"/>
          <w:lang w:val="en-GB"/>
        </w:rPr>
        <w:t xml:space="preserve"> given at a rate &gt; 5 ml/kg/h (Finfer 2010). </w:t>
      </w:r>
    </w:p>
    <w:p w14:paraId="0B933808" w14:textId="1B957A8F" w:rsidR="00167F49" w:rsidRPr="00F4152A" w:rsidRDefault="00167F49" w:rsidP="00167F49">
      <w:pPr>
        <w:rPr>
          <w:lang w:val="en-GB"/>
        </w:rPr>
      </w:pPr>
      <w:r w:rsidRPr="00DF3EFF">
        <w:rPr>
          <w:rFonts w:cs="Times New Roman"/>
          <w:color w:val="000000" w:themeColor="text1"/>
          <w:u w:val="single"/>
          <w:lang w:val="en-GB"/>
        </w:rPr>
        <w:t>Non-resuscitation fluids</w:t>
      </w:r>
      <w:r w:rsidRPr="00DF3EFF">
        <w:rPr>
          <w:rFonts w:cs="Times New Roman"/>
          <w:color w:val="000000" w:themeColor="text1"/>
          <w:lang w:val="en-GB"/>
        </w:rPr>
        <w:t xml:space="preserve"> will be defined as fluids other than crystalloids</w:t>
      </w:r>
      <w:r w:rsidR="00DF3EFF">
        <w:rPr>
          <w:rFonts w:cs="Times New Roman"/>
          <w:color w:val="000000" w:themeColor="text1"/>
          <w:lang w:val="en-GB"/>
        </w:rPr>
        <w:t xml:space="preserve"> that are</w:t>
      </w:r>
      <w:r w:rsidRPr="00DF3EFF">
        <w:rPr>
          <w:rFonts w:cs="Times New Roman"/>
          <w:color w:val="000000" w:themeColor="text1"/>
          <w:lang w:val="en-GB"/>
        </w:rPr>
        <w:t xml:space="preserve"> classified as resuscitation fluids</w:t>
      </w:r>
      <w:r w:rsidR="00DF3EFF">
        <w:rPr>
          <w:rFonts w:cs="Times New Roman"/>
          <w:color w:val="000000" w:themeColor="text1"/>
          <w:lang w:val="en-GB"/>
        </w:rPr>
        <w:t xml:space="preserve"> as </w:t>
      </w:r>
      <w:r w:rsidR="00040F3F">
        <w:rPr>
          <w:rFonts w:cs="Times New Roman"/>
          <w:color w:val="000000" w:themeColor="text1"/>
          <w:lang w:val="en-GB"/>
        </w:rPr>
        <w:t xml:space="preserve">described </w:t>
      </w:r>
      <w:r w:rsidR="00DF3EFF">
        <w:rPr>
          <w:rFonts w:cs="Times New Roman"/>
          <w:color w:val="000000" w:themeColor="text1"/>
          <w:lang w:val="en-GB"/>
        </w:rPr>
        <w:t>above</w:t>
      </w:r>
      <w:r w:rsidRPr="00DF3EFF">
        <w:rPr>
          <w:rFonts w:cs="Times New Roman"/>
          <w:color w:val="000000" w:themeColor="text1"/>
          <w:lang w:val="en-GB"/>
        </w:rPr>
        <w:t>, colloids, and blood products.</w:t>
      </w:r>
    </w:p>
    <w:p w14:paraId="5B4A5E9F" w14:textId="77777777" w:rsidR="009D5632" w:rsidRPr="00F4152A" w:rsidRDefault="009D5632" w:rsidP="005D4D88">
      <w:pPr>
        <w:rPr>
          <w:rFonts w:cs="Times New Roman"/>
          <w:color w:val="000000" w:themeColor="text1"/>
          <w:lang w:val="en-GB"/>
        </w:rPr>
      </w:pPr>
    </w:p>
    <w:p w14:paraId="296933A3" w14:textId="712907FD" w:rsidR="00494FE6" w:rsidRPr="00DF3EFF" w:rsidRDefault="00494FE6" w:rsidP="00494FE6">
      <w:pPr>
        <w:pStyle w:val="Overskrift2"/>
      </w:pPr>
      <w:bookmarkStart w:id="11" w:name="_Toc104540086"/>
      <w:r w:rsidRPr="00DF3EFF">
        <w:lastRenderedPageBreak/>
        <w:t>Sample size</w:t>
      </w:r>
      <w:bookmarkEnd w:id="11"/>
      <w:r w:rsidRPr="00DF3EFF">
        <w:t xml:space="preserve"> calculation</w:t>
      </w:r>
    </w:p>
    <w:p w14:paraId="37C62A67" w14:textId="13F90870" w:rsidR="00494FE6" w:rsidRPr="00DF3EFF" w:rsidRDefault="00494FE6" w:rsidP="00494FE6">
      <w:pPr>
        <w:rPr>
          <w:rFonts w:cs="Times New Roman"/>
          <w:color w:val="000000" w:themeColor="text1"/>
          <w:lang w:val="en-GB"/>
        </w:rPr>
      </w:pPr>
      <w:r w:rsidRPr="00DF3EFF">
        <w:rPr>
          <w:lang w:val="en-GB"/>
        </w:rPr>
        <w:t xml:space="preserve">Data from our previous study </w:t>
      </w:r>
      <w:r w:rsidR="0099200B" w:rsidRPr="00DF3EFF">
        <w:rPr>
          <w:lang w:val="en-GB"/>
        </w:rPr>
        <w:t>indicated</w:t>
      </w:r>
      <w:r w:rsidRPr="00DF3EFF">
        <w:rPr>
          <w:lang w:val="en-GB"/>
        </w:rPr>
        <w:t xml:space="preserve"> that </w:t>
      </w:r>
      <w:r w:rsidR="0099200B" w:rsidRPr="00DF3EFF">
        <w:rPr>
          <w:lang w:val="en-GB"/>
        </w:rPr>
        <w:t xml:space="preserve">the </w:t>
      </w:r>
      <w:r w:rsidRPr="00DF3EFF">
        <w:rPr>
          <w:lang w:val="en-GB"/>
        </w:rPr>
        <w:t xml:space="preserve">total volume of fluids may be reduced by a median of 3.12 (IQR: 1.50-4.95) </w:t>
      </w:r>
      <w:r w:rsidRPr="00DF3EFF">
        <w:rPr>
          <w:rFonts w:cs="Times New Roman"/>
          <w:color w:val="000000" w:themeColor="text1"/>
          <w:lang w:val="en-GB"/>
        </w:rPr>
        <w:t>L in the first 3 days after ICU admission (D0-3) by restrictive administration of non-resuscitation fluids in Swedish ICUs</w:t>
      </w:r>
      <w:r w:rsidRPr="00DF3EFF">
        <w:rPr>
          <w:lang w:val="en-GB"/>
        </w:rPr>
        <w:t xml:space="preserve"> (</w:t>
      </w:r>
      <w:r w:rsidRPr="00DF3EFF">
        <w:rPr>
          <w:rFonts w:cs="Times New Roman"/>
          <w:color w:val="000000" w:themeColor="text1"/>
          <w:lang w:val="en-GB"/>
        </w:rPr>
        <w:t>Lindén-Søndersø, 2019</w:t>
      </w:r>
      <w:r w:rsidRPr="00DF3EFF">
        <w:rPr>
          <w:lang w:val="en-GB"/>
        </w:rPr>
        <w:t xml:space="preserve">). We believe that a median reduction </w:t>
      </w:r>
      <w:r w:rsidR="00DF3EFF">
        <w:rPr>
          <w:lang w:val="en-GB"/>
        </w:rPr>
        <w:t>of at least</w:t>
      </w:r>
      <w:r w:rsidR="00B87375" w:rsidRPr="00DF3EFF">
        <w:rPr>
          <w:lang w:val="en-GB"/>
        </w:rPr>
        <w:t xml:space="preserve"> 2 L </w:t>
      </w:r>
      <w:r w:rsidRPr="00DF3EFF">
        <w:rPr>
          <w:lang w:val="en-GB"/>
        </w:rPr>
        <w:t xml:space="preserve">in </w:t>
      </w:r>
      <w:r w:rsidR="00DF3EFF">
        <w:rPr>
          <w:lang w:val="en-GB"/>
        </w:rPr>
        <w:t xml:space="preserve">the </w:t>
      </w:r>
      <w:r w:rsidRPr="00DF3EFF">
        <w:rPr>
          <w:lang w:val="en-GB"/>
        </w:rPr>
        <w:t>total volume of fluids in the first 3 day</w:t>
      </w:r>
      <w:r w:rsidR="00B87375" w:rsidRPr="00DF3EFF">
        <w:rPr>
          <w:lang w:val="en-GB"/>
        </w:rPr>
        <w:t>s</w:t>
      </w:r>
      <w:r w:rsidRPr="00DF3EFF">
        <w:rPr>
          <w:lang w:val="en-GB"/>
        </w:rPr>
        <w:t xml:space="preserve"> </w:t>
      </w:r>
      <w:r w:rsidR="004C63E1">
        <w:rPr>
          <w:lang w:val="en-GB"/>
        </w:rPr>
        <w:t>after</w:t>
      </w:r>
      <w:r w:rsidR="004C63E1" w:rsidRPr="00DF3EFF">
        <w:rPr>
          <w:lang w:val="en-GB"/>
        </w:rPr>
        <w:t xml:space="preserve"> </w:t>
      </w:r>
      <w:r w:rsidRPr="00DF3EFF">
        <w:rPr>
          <w:lang w:val="en-GB"/>
        </w:rPr>
        <w:t xml:space="preserve">ICU admission is likely to have an impact on </w:t>
      </w:r>
      <w:r w:rsidR="00F4152A">
        <w:rPr>
          <w:lang w:val="en-GB"/>
        </w:rPr>
        <w:t>90-day mortality.</w:t>
      </w:r>
      <w:r w:rsidRPr="00DF3EFF">
        <w:rPr>
          <w:lang w:val="en-GB"/>
        </w:rPr>
        <w:t xml:space="preserve"> </w:t>
      </w:r>
      <w:r w:rsidRPr="00DF3EFF">
        <w:rPr>
          <w:rFonts w:cs="Times New Roman"/>
          <w:color w:val="000000" w:themeColor="text1"/>
          <w:lang w:val="en-GB"/>
        </w:rPr>
        <w:t xml:space="preserve">To detect such a difference </w:t>
      </w:r>
      <w:r w:rsidR="00DF3EFF">
        <w:rPr>
          <w:rFonts w:cs="Times New Roman"/>
          <w:color w:val="000000" w:themeColor="text1"/>
          <w:lang w:val="en-GB"/>
        </w:rPr>
        <w:t>using a t-test</w:t>
      </w:r>
      <w:r w:rsidR="00DF3EFF" w:rsidRPr="00DF3EFF">
        <w:rPr>
          <w:rFonts w:cs="Times New Roman"/>
          <w:color w:val="000000" w:themeColor="text1"/>
          <w:lang w:val="en-GB"/>
        </w:rPr>
        <w:t xml:space="preserve"> </w:t>
      </w:r>
      <w:r w:rsidRPr="00DF3EFF">
        <w:rPr>
          <w:rFonts w:cs="Times New Roman"/>
          <w:color w:val="000000" w:themeColor="text1"/>
          <w:lang w:val="en-GB"/>
        </w:rPr>
        <w:t>with an alpha of 0.05 and a power of 90%</w:t>
      </w:r>
      <w:r w:rsidR="00DF3EFF">
        <w:rPr>
          <w:rFonts w:cs="Times New Roman"/>
          <w:color w:val="000000" w:themeColor="text1"/>
          <w:lang w:val="en-GB"/>
        </w:rPr>
        <w:t>,</w:t>
      </w:r>
      <w:r w:rsidRPr="00DF3EFF">
        <w:rPr>
          <w:rFonts w:cs="Times New Roman"/>
          <w:color w:val="000000" w:themeColor="text1"/>
          <w:lang w:val="en-GB"/>
        </w:rPr>
        <w:t xml:space="preserve"> we need 42 participants in each arm. To account for</w:t>
      </w:r>
      <w:r w:rsidR="00DF3EFF">
        <w:rPr>
          <w:rFonts w:cs="Times New Roman"/>
          <w:color w:val="000000" w:themeColor="text1"/>
          <w:lang w:val="en-GB"/>
        </w:rPr>
        <w:t xml:space="preserve"> an expected non-normal distribution of the</w:t>
      </w:r>
      <w:r w:rsidRPr="00DF3EFF">
        <w:rPr>
          <w:rFonts w:cs="Times New Roman"/>
          <w:color w:val="000000" w:themeColor="text1"/>
          <w:lang w:val="en-GB"/>
        </w:rPr>
        <w:t xml:space="preserve"> data we aim to include 15% more participants than the calculated sample size using a conventional rule-of-thumb (Lehmann 1998). Thus, we aim to include 49 participants in each arm resulting in a total sample size of 98 participants.</w:t>
      </w:r>
    </w:p>
    <w:p w14:paraId="48557B13" w14:textId="77777777" w:rsidR="00494FE6" w:rsidRPr="00DF3EFF" w:rsidRDefault="00494FE6" w:rsidP="00494FE6">
      <w:pPr>
        <w:rPr>
          <w:lang w:val="en-GB"/>
        </w:rPr>
      </w:pPr>
    </w:p>
    <w:p w14:paraId="479DC2AC" w14:textId="53C57146" w:rsidR="00DF3EFF" w:rsidRPr="00DF3EFF" w:rsidRDefault="00494FE6" w:rsidP="00494FE6">
      <w:pPr>
        <w:rPr>
          <w:lang w:val="en-GB"/>
        </w:rPr>
      </w:pPr>
      <w:r w:rsidRPr="00DF3EFF">
        <w:rPr>
          <w:lang w:val="en-GB"/>
        </w:rPr>
        <w:t>We will encourage all participating centres to randomise at least 10 participants.</w:t>
      </w:r>
    </w:p>
    <w:p w14:paraId="6DA3454F" w14:textId="67A51722" w:rsidR="00494FE6" w:rsidRPr="00DF3EFF" w:rsidRDefault="00494FE6" w:rsidP="00494FE6">
      <w:pPr>
        <w:rPr>
          <w:lang w:val="en-GB"/>
        </w:rPr>
      </w:pPr>
    </w:p>
    <w:p w14:paraId="2BA6D818" w14:textId="07BFEFB9" w:rsidR="00494FE6" w:rsidRPr="00DF3EFF" w:rsidRDefault="00494FE6" w:rsidP="00494FE6">
      <w:pPr>
        <w:pStyle w:val="Overskrift2"/>
      </w:pPr>
      <w:bookmarkStart w:id="12" w:name="_Toc104540088"/>
      <w:r w:rsidRPr="00DF3EFF">
        <w:t>Feasibility threshold for secondary feasibility outcomes</w:t>
      </w:r>
      <w:bookmarkEnd w:id="12"/>
      <w:r w:rsidRPr="00DF3EFF">
        <w:t xml:space="preserve"> </w:t>
      </w:r>
    </w:p>
    <w:p w14:paraId="7965E550" w14:textId="58977A4C" w:rsidR="00494FE6" w:rsidRPr="00DF3EFF" w:rsidRDefault="00494FE6" w:rsidP="00494FE6">
      <w:pPr>
        <w:rPr>
          <w:lang w:val="en-GB"/>
        </w:rPr>
      </w:pPr>
      <w:r w:rsidRPr="00DF3EFF">
        <w:rPr>
          <w:lang w:val="en-GB"/>
        </w:rPr>
        <w:t xml:space="preserve">The feasibility thresholds are defined </w:t>
      </w:r>
      <w:r w:rsidR="00DF3EFF">
        <w:rPr>
          <w:lang w:val="en-GB"/>
        </w:rPr>
        <w:t>as</w:t>
      </w:r>
      <w:r w:rsidRPr="00DF3EFF">
        <w:rPr>
          <w:lang w:val="en-GB"/>
        </w:rPr>
        <w:t>:</w:t>
      </w:r>
    </w:p>
    <w:p w14:paraId="551B2054" w14:textId="0C80799C" w:rsidR="00494FE6" w:rsidRPr="00DF3EFF" w:rsidRDefault="00494FE6" w:rsidP="004A25B7">
      <w:pPr>
        <w:pStyle w:val="Listeafsnit"/>
        <w:numPr>
          <w:ilvl w:val="0"/>
          <w:numId w:val="6"/>
        </w:numPr>
        <w:rPr>
          <w:lang w:val="en-GB"/>
        </w:rPr>
      </w:pPr>
      <w:r w:rsidRPr="00DF3EFF">
        <w:rPr>
          <w:lang w:val="en-GB"/>
        </w:rPr>
        <w:t>The proportion of pa</w:t>
      </w:r>
      <w:r w:rsidRPr="00DF3EFF">
        <w:rPr>
          <w:rFonts w:cs="Arial"/>
          <w:lang w:val="en-GB"/>
        </w:rPr>
        <w:t>rticipant</w:t>
      </w:r>
      <w:r w:rsidRPr="00DF3EFF">
        <w:rPr>
          <w:lang w:val="en-GB"/>
        </w:rPr>
        <w:t>s with outcome data on all-cause mortality, days alive and free of mechanical ventilation within 90 days of inclusion, acute kidney injury and ischemic events in the ICU (cerebral, cardiac, intestinal or limb ischemia) should be more than 95% (n = 93) corresponding to a confidence interval of 89-98% (1-sample proportions test);</w:t>
      </w:r>
    </w:p>
    <w:p w14:paraId="0CB41082" w14:textId="37C5FAB0" w:rsidR="00494FE6" w:rsidRPr="00DF3EFF" w:rsidRDefault="00494FE6" w:rsidP="004A25B7">
      <w:pPr>
        <w:pStyle w:val="Listeafsnit"/>
        <w:numPr>
          <w:ilvl w:val="0"/>
          <w:numId w:val="6"/>
        </w:numPr>
        <w:rPr>
          <w:lang w:val="en-GB"/>
        </w:rPr>
      </w:pPr>
      <w:r w:rsidRPr="00DF3EFF">
        <w:rPr>
          <w:lang w:val="en-GB"/>
        </w:rPr>
        <w:t>The proportion of surviving pa</w:t>
      </w:r>
      <w:r w:rsidRPr="00DF3EFF">
        <w:rPr>
          <w:rFonts w:cs="Arial"/>
          <w:lang w:val="en-GB"/>
        </w:rPr>
        <w:t>rticipant</w:t>
      </w:r>
      <w:r w:rsidRPr="00DF3EFF">
        <w:rPr>
          <w:lang w:val="en-GB"/>
        </w:rPr>
        <w:t>s assessed by EQ-5D-5L and MoCA should be more than 85 % (n=45) of survivors (</w:t>
      </w:r>
      <w:r w:rsidR="00DF3EFF">
        <w:rPr>
          <w:lang w:val="en-GB"/>
        </w:rPr>
        <w:t xml:space="preserve">expected: </w:t>
      </w:r>
      <w:r w:rsidRPr="00DF3EFF">
        <w:rPr>
          <w:lang w:val="en-GB"/>
        </w:rPr>
        <w:t xml:space="preserve">n=53; based on a predicted </w:t>
      </w:r>
      <w:r w:rsidR="00AF3C35">
        <w:rPr>
          <w:lang w:val="en-GB"/>
        </w:rPr>
        <w:t xml:space="preserve">survival of </w:t>
      </w:r>
      <w:r w:rsidRPr="00DF3EFF">
        <w:rPr>
          <w:lang w:val="en-GB"/>
        </w:rPr>
        <w:t xml:space="preserve">of </w:t>
      </w:r>
      <w:r w:rsidR="00AF3C35">
        <w:rPr>
          <w:lang w:val="en-GB"/>
        </w:rPr>
        <w:t>5</w:t>
      </w:r>
      <w:r w:rsidRPr="00DF3EFF">
        <w:rPr>
          <w:lang w:val="en-GB"/>
        </w:rPr>
        <w:t>5% (Hjortrup 2016, Perner 2012, Shankar Hari 2016, Hernandez 2019, Holst 2014) corresponding to a confidence interval of 73-92%;</w:t>
      </w:r>
    </w:p>
    <w:p w14:paraId="72EA0478" w14:textId="7C299696" w:rsidR="00494FE6" w:rsidRPr="00DF3EFF" w:rsidRDefault="00494FE6" w:rsidP="004A25B7">
      <w:pPr>
        <w:pStyle w:val="Listeafsnit"/>
        <w:numPr>
          <w:ilvl w:val="0"/>
          <w:numId w:val="6"/>
        </w:numPr>
        <w:rPr>
          <w:lang w:val="en-GB"/>
        </w:rPr>
      </w:pPr>
      <w:r w:rsidRPr="00DF3EFF">
        <w:rPr>
          <w:lang w:val="en-GB"/>
        </w:rPr>
        <w:t>The proportion of all eligible patients who were randomised should be more than 75% (i.e. 98 randomised</w:t>
      </w:r>
      <w:r w:rsidR="00DF3EFF">
        <w:rPr>
          <w:lang w:val="en-GB"/>
        </w:rPr>
        <w:t xml:space="preserve"> out</w:t>
      </w:r>
      <w:r w:rsidRPr="00DF3EFF">
        <w:rPr>
          <w:lang w:val="en-GB"/>
        </w:rPr>
        <w:t xml:space="preserve"> of </w:t>
      </w:r>
      <w:r w:rsidR="00DF3EFF">
        <w:rPr>
          <w:lang w:val="en-GB"/>
        </w:rPr>
        <w:t xml:space="preserve">at most </w:t>
      </w:r>
      <w:r w:rsidRPr="00DF3EFF">
        <w:rPr>
          <w:lang w:val="en-GB"/>
        </w:rPr>
        <w:t>131 eligible</w:t>
      </w:r>
      <w:r w:rsidR="00DF3EFF">
        <w:rPr>
          <w:lang w:val="en-GB"/>
        </w:rPr>
        <w:t xml:space="preserve"> participants</w:t>
      </w:r>
      <w:r w:rsidRPr="00DF3EFF">
        <w:rPr>
          <w:lang w:val="en-GB"/>
        </w:rPr>
        <w:t xml:space="preserve">) corresponding to a confidence interval of 67-81%; </w:t>
      </w:r>
    </w:p>
    <w:p w14:paraId="16BA671B" w14:textId="2A716D58" w:rsidR="00494FE6" w:rsidRPr="00DF3EFF" w:rsidRDefault="00494FE6" w:rsidP="004A25B7">
      <w:pPr>
        <w:pStyle w:val="Listeafsnit"/>
        <w:numPr>
          <w:ilvl w:val="0"/>
          <w:numId w:val="6"/>
        </w:numPr>
        <w:rPr>
          <w:lang w:val="en-GB"/>
        </w:rPr>
      </w:pPr>
      <w:r w:rsidRPr="00DF3EFF">
        <w:rPr>
          <w:lang w:val="en-GB"/>
        </w:rPr>
        <w:t>The proportion of pa</w:t>
      </w:r>
      <w:r w:rsidRPr="00DF3EFF">
        <w:rPr>
          <w:rFonts w:cs="Arial"/>
          <w:lang w:val="en-GB"/>
        </w:rPr>
        <w:t>rticipant</w:t>
      </w:r>
      <w:r w:rsidRPr="00DF3EFF">
        <w:rPr>
          <w:lang w:val="en-GB"/>
        </w:rPr>
        <w:t>s experiencing at least on</w:t>
      </w:r>
      <w:r w:rsidR="00193CD6" w:rsidRPr="00DF3EFF">
        <w:rPr>
          <w:lang w:val="en-GB"/>
        </w:rPr>
        <w:t>e</w:t>
      </w:r>
      <w:r w:rsidRPr="00DF3EFF">
        <w:rPr>
          <w:lang w:val="en-GB"/>
        </w:rPr>
        <w:t xml:space="preserve"> protocol violation should be less than 10% (n=10) corresponding to a confidence interval of 6-18%.</w:t>
      </w:r>
    </w:p>
    <w:p w14:paraId="081245DD" w14:textId="77777777" w:rsidR="00494FE6" w:rsidRPr="00DF3EFF" w:rsidRDefault="00494FE6" w:rsidP="00494FE6">
      <w:pPr>
        <w:rPr>
          <w:lang w:val="en-GB"/>
        </w:rPr>
      </w:pPr>
    </w:p>
    <w:p w14:paraId="400ED49A" w14:textId="3535E234" w:rsidR="00494FE6" w:rsidRPr="00DF3EFF" w:rsidRDefault="00494FE6" w:rsidP="00494FE6">
      <w:pPr>
        <w:rPr>
          <w:lang w:val="en-GB"/>
        </w:rPr>
      </w:pPr>
      <w:r w:rsidRPr="00DF3EFF">
        <w:rPr>
          <w:lang w:val="en-GB"/>
        </w:rPr>
        <w:lastRenderedPageBreak/>
        <w:t xml:space="preserve">Each feasibility outcome will be investigated </w:t>
      </w:r>
      <w:r w:rsidR="00EF5FF3" w:rsidRPr="00DF3EFF">
        <w:rPr>
          <w:lang w:val="en-GB"/>
        </w:rPr>
        <w:t>either to confirm the feasibility of the trial design or to identify how to optimize the methodology.</w:t>
      </w:r>
      <w:r w:rsidRPr="00DF3EFF">
        <w:rPr>
          <w:lang w:val="en-GB"/>
        </w:rPr>
        <w:t xml:space="preserve"> </w:t>
      </w:r>
    </w:p>
    <w:p w14:paraId="13FEDCF5" w14:textId="77777777" w:rsidR="00494FE6" w:rsidRPr="00DF3EFF" w:rsidRDefault="00494FE6" w:rsidP="00494FE6">
      <w:pPr>
        <w:rPr>
          <w:lang w:val="en-GB"/>
        </w:rPr>
      </w:pPr>
    </w:p>
    <w:p w14:paraId="336F61A5" w14:textId="6E353880" w:rsidR="00494FE6" w:rsidRPr="00DF3EFF" w:rsidRDefault="00494FE6" w:rsidP="00E05FDD">
      <w:pPr>
        <w:pStyle w:val="Overskrift2"/>
      </w:pPr>
      <w:bookmarkStart w:id="13" w:name="_Toc104540089"/>
      <w:r w:rsidRPr="00DF3EFF">
        <w:t>Power estimations of primary exploratory clinical outcomes</w:t>
      </w:r>
      <w:bookmarkEnd w:id="13"/>
      <w:r w:rsidRPr="00DF3EFF">
        <w:t xml:space="preserve"> </w:t>
      </w:r>
    </w:p>
    <w:p w14:paraId="5301CB16" w14:textId="6E4F1D0C" w:rsidR="00494FE6" w:rsidRPr="00DF3EFF" w:rsidRDefault="00494FE6" w:rsidP="00494FE6">
      <w:pPr>
        <w:rPr>
          <w:lang w:val="en-GB"/>
        </w:rPr>
      </w:pPr>
      <w:r w:rsidRPr="00DF3EFF">
        <w:rPr>
          <w:lang w:val="en-GB"/>
        </w:rPr>
        <w:t>For the primary exploratory clinical outcomes</w:t>
      </w:r>
      <w:r w:rsidR="00C4560C" w:rsidRPr="00DF3EFF">
        <w:rPr>
          <w:lang w:val="en-GB"/>
        </w:rPr>
        <w:t>,</w:t>
      </w:r>
      <w:r w:rsidRPr="00DF3EFF">
        <w:rPr>
          <w:lang w:val="en-GB"/>
        </w:rPr>
        <w:t xml:space="preserve"> the power estimation is based on inclusion of 98 (49 in each group) participants without any missing data, and an alpha of 0.05.</w:t>
      </w:r>
    </w:p>
    <w:p w14:paraId="06D8E429" w14:textId="77777777" w:rsidR="00494FE6" w:rsidRPr="00DF3EFF" w:rsidRDefault="00494FE6" w:rsidP="00494FE6">
      <w:pPr>
        <w:rPr>
          <w:lang w:val="en-GB"/>
        </w:rPr>
      </w:pPr>
    </w:p>
    <w:p w14:paraId="49B5B237" w14:textId="77777777" w:rsidR="00494FE6" w:rsidRPr="00DF3EFF" w:rsidRDefault="00494FE6" w:rsidP="004A25B7">
      <w:pPr>
        <w:pStyle w:val="Listeafsnit"/>
        <w:numPr>
          <w:ilvl w:val="0"/>
          <w:numId w:val="3"/>
        </w:numPr>
        <w:rPr>
          <w:lang w:val="en-GB"/>
        </w:rPr>
      </w:pPr>
      <w:r w:rsidRPr="00DF3EFF">
        <w:rPr>
          <w:lang w:val="en-GB"/>
        </w:rPr>
        <w:t>Based on an expected a</w:t>
      </w:r>
      <w:r w:rsidRPr="00DF3EFF">
        <w:rPr>
          <w:rFonts w:cs="Times New Roman"/>
          <w:color w:val="000000" w:themeColor="text1"/>
          <w:lang w:val="en-GB"/>
        </w:rPr>
        <w:t>ll-cause mortality at 90 days of 45% in the control group</w:t>
      </w:r>
      <w:r w:rsidRPr="00DF3EFF">
        <w:rPr>
          <w:lang w:val="en-GB"/>
        </w:rPr>
        <w:t xml:space="preserve"> (Hjortrup 2016, Perner 2012, Shankar Hari 2016, Hernandez 2019, Holst 2014) this trial will have a power of 11% to detect an absolute risk reduction of 7.5% which corresponds to a relative risk reduction of 16.7%.</w:t>
      </w:r>
    </w:p>
    <w:p w14:paraId="5A82C018" w14:textId="66F8FF66" w:rsidR="00494FE6" w:rsidRPr="00DF3EFF" w:rsidRDefault="00494FE6" w:rsidP="004A25B7">
      <w:pPr>
        <w:pStyle w:val="Listeafsnit"/>
        <w:numPr>
          <w:ilvl w:val="0"/>
          <w:numId w:val="3"/>
        </w:numPr>
        <w:rPr>
          <w:lang w:val="en-GB"/>
        </w:rPr>
      </w:pPr>
      <w:r w:rsidRPr="00DF3EFF">
        <w:rPr>
          <w:lang w:val="en-GB"/>
        </w:rPr>
        <w:t xml:space="preserve">Based on an expected </w:t>
      </w:r>
      <w:r w:rsidR="00AF3C35">
        <w:rPr>
          <w:lang w:val="en-GB"/>
        </w:rPr>
        <w:t>survival</w:t>
      </w:r>
      <w:r w:rsidRPr="00DF3EFF">
        <w:rPr>
          <w:lang w:val="en-GB"/>
        </w:rPr>
        <w:t xml:space="preserve"> of </w:t>
      </w:r>
      <w:r w:rsidR="00AF3C35">
        <w:rPr>
          <w:lang w:val="en-GB"/>
        </w:rPr>
        <w:t>5</w:t>
      </w:r>
      <w:r w:rsidRPr="00DF3EFF">
        <w:rPr>
          <w:lang w:val="en-GB"/>
        </w:rPr>
        <w:t xml:space="preserve">5% (n=53) and </w:t>
      </w:r>
      <w:r w:rsidR="00DF3EFF">
        <w:rPr>
          <w:lang w:val="en-GB"/>
        </w:rPr>
        <w:t>standard deviation (SD)</w:t>
      </w:r>
      <w:r w:rsidRPr="00DF3EFF">
        <w:rPr>
          <w:lang w:val="en-GB"/>
        </w:rPr>
        <w:t xml:space="preserve"> of 5 point</w:t>
      </w:r>
      <w:r w:rsidR="00DF3EFF">
        <w:rPr>
          <w:lang w:val="en-GB"/>
        </w:rPr>
        <w:t>s</w:t>
      </w:r>
      <w:r w:rsidRPr="00DF3EFF">
        <w:rPr>
          <w:lang w:val="en-GB"/>
        </w:rPr>
        <w:t xml:space="preserve"> for MoCA</w:t>
      </w:r>
      <w:r w:rsidR="00DF3EFF">
        <w:rPr>
          <w:lang w:val="en-GB"/>
        </w:rPr>
        <w:t xml:space="preserve"> assessment,</w:t>
      </w:r>
      <w:r w:rsidRPr="00DF3EFF">
        <w:rPr>
          <w:lang w:val="en-GB"/>
        </w:rPr>
        <w:t xml:space="preserve"> this trial will have a power of 29% to detect a minimal important difference of 2 points (Brown 2018).</w:t>
      </w:r>
    </w:p>
    <w:p w14:paraId="651049EF" w14:textId="36AE3197" w:rsidR="00494FE6" w:rsidRPr="00DF3EFF" w:rsidRDefault="00494FE6" w:rsidP="004A25B7">
      <w:pPr>
        <w:pStyle w:val="Listeafsnit"/>
        <w:numPr>
          <w:ilvl w:val="0"/>
          <w:numId w:val="3"/>
        </w:numPr>
        <w:rPr>
          <w:lang w:val="en-GB"/>
        </w:rPr>
      </w:pPr>
      <w:r w:rsidRPr="00DF3EFF">
        <w:rPr>
          <w:lang w:val="en-GB"/>
        </w:rPr>
        <w:t xml:space="preserve">Based on an expected </w:t>
      </w:r>
      <w:r w:rsidR="00AF3C35">
        <w:rPr>
          <w:lang w:val="en-GB"/>
        </w:rPr>
        <w:t>survival</w:t>
      </w:r>
      <w:r w:rsidRPr="00DF3EFF">
        <w:rPr>
          <w:lang w:val="en-GB"/>
        </w:rPr>
        <w:t xml:space="preserve"> of </w:t>
      </w:r>
      <w:r w:rsidR="00AF3C35">
        <w:rPr>
          <w:lang w:val="en-GB"/>
        </w:rPr>
        <w:t>5</w:t>
      </w:r>
      <w:r w:rsidRPr="00DF3EFF">
        <w:rPr>
          <w:lang w:val="en-GB"/>
        </w:rPr>
        <w:t>5% (n=53) and SD of 20 point</w:t>
      </w:r>
      <w:r w:rsidR="00CC0558">
        <w:rPr>
          <w:lang w:val="en-GB"/>
        </w:rPr>
        <w:t>s</w:t>
      </w:r>
      <w:r w:rsidRPr="00DF3EFF">
        <w:rPr>
          <w:lang w:val="en-GB"/>
        </w:rPr>
        <w:t xml:space="preserve"> for </w:t>
      </w:r>
      <w:r w:rsidR="00BC3BAB">
        <w:rPr>
          <w:lang w:val="en-GB"/>
        </w:rPr>
        <w:t xml:space="preserve">the </w:t>
      </w:r>
      <w:r w:rsidRPr="00DF3EFF">
        <w:rPr>
          <w:rFonts w:cs="Times New Roman"/>
          <w:color w:val="000000" w:themeColor="text1"/>
          <w:lang w:val="en-GB"/>
        </w:rPr>
        <w:t>EQ-5D-5L</w:t>
      </w:r>
      <w:r w:rsidR="00CC0558">
        <w:rPr>
          <w:rFonts w:cs="Times New Roman"/>
          <w:color w:val="000000" w:themeColor="text1"/>
          <w:lang w:val="en-GB"/>
        </w:rPr>
        <w:t xml:space="preserve"> </w:t>
      </w:r>
      <w:r w:rsidR="00BC3BAB" w:rsidRPr="00256A58">
        <w:rPr>
          <w:rFonts w:cs="Times New Roman"/>
          <w:color w:val="000000" w:themeColor="text1"/>
          <w:lang w:val="en-US"/>
        </w:rPr>
        <w:t>VAS score</w:t>
      </w:r>
      <w:r w:rsidR="00CC0558">
        <w:rPr>
          <w:rFonts w:cs="Times New Roman"/>
          <w:color w:val="000000" w:themeColor="text1"/>
          <w:lang w:val="en-GB"/>
        </w:rPr>
        <w:t>,</w:t>
      </w:r>
      <w:r w:rsidRPr="00DF3EFF">
        <w:rPr>
          <w:lang w:val="en-GB"/>
        </w:rPr>
        <w:t xml:space="preserve"> this trial will have a power of 14% to detect a minimal important difference of 5 points (Granja 2004, Hammond 2020, McClure 2018).</w:t>
      </w:r>
    </w:p>
    <w:p w14:paraId="3CF14146" w14:textId="1AC31AF2" w:rsidR="00494FE6" w:rsidRPr="00DF3EFF" w:rsidRDefault="00494FE6" w:rsidP="004A25B7">
      <w:pPr>
        <w:pStyle w:val="Listeafsnit"/>
        <w:numPr>
          <w:ilvl w:val="0"/>
          <w:numId w:val="3"/>
        </w:numPr>
        <w:rPr>
          <w:lang w:val="en-GB"/>
        </w:rPr>
      </w:pPr>
      <w:r w:rsidRPr="00DF3EFF">
        <w:rPr>
          <w:lang w:val="en-GB"/>
        </w:rPr>
        <w:t>Based on an expected SD of 12 point</w:t>
      </w:r>
      <w:r w:rsidR="00C4560C" w:rsidRPr="00DF3EFF">
        <w:rPr>
          <w:lang w:val="en-GB"/>
        </w:rPr>
        <w:t>s</w:t>
      </w:r>
      <w:r w:rsidRPr="00DF3EFF">
        <w:rPr>
          <w:lang w:val="en-GB"/>
        </w:rPr>
        <w:t xml:space="preserve"> for days alive and free of mechanical ventilation and a 15% reduction in sample size because of the </w:t>
      </w:r>
      <w:r w:rsidR="00CC0558">
        <w:rPr>
          <w:lang w:val="en-GB"/>
        </w:rPr>
        <w:t xml:space="preserve">expected </w:t>
      </w:r>
      <w:r w:rsidRPr="00DF3EFF">
        <w:rPr>
          <w:lang w:val="en-GB"/>
        </w:rPr>
        <w:t>non-normal distribution of these data</w:t>
      </w:r>
      <w:r w:rsidR="00C4560C" w:rsidRPr="00DF3EFF">
        <w:rPr>
          <w:lang w:val="en-GB"/>
        </w:rPr>
        <w:t>,</w:t>
      </w:r>
      <w:r w:rsidRPr="00DF3EFF">
        <w:rPr>
          <w:lang w:val="en-GB"/>
        </w:rPr>
        <w:t xml:space="preserve"> this trial will have a power of 11% to detect a minimal important difference of 2 points (Hernandez 2019, Lehmann 1998).</w:t>
      </w:r>
    </w:p>
    <w:p w14:paraId="0E61E00B" w14:textId="33FC678B" w:rsidR="00494FE6" w:rsidRPr="00DF3EFF" w:rsidRDefault="00494FE6" w:rsidP="004A25B7">
      <w:pPr>
        <w:pStyle w:val="Listeafsnit"/>
        <w:numPr>
          <w:ilvl w:val="0"/>
          <w:numId w:val="3"/>
        </w:numPr>
        <w:rPr>
          <w:rFonts w:cs="Arial"/>
          <w:lang w:val="en-GB"/>
        </w:rPr>
      </w:pPr>
      <w:r w:rsidRPr="00DF3EFF">
        <w:rPr>
          <w:lang w:val="en-GB"/>
        </w:rPr>
        <w:t xml:space="preserve">Based on an expected rate of complications in the ICU </w:t>
      </w:r>
      <w:r w:rsidRPr="00DF3EFF">
        <w:rPr>
          <w:rFonts w:cs="Times New Roman"/>
          <w:color w:val="000000" w:themeColor="text1"/>
          <w:lang w:val="en-GB"/>
        </w:rPr>
        <w:t>of 50% in the control group</w:t>
      </w:r>
      <w:r w:rsidRPr="00DF3EFF">
        <w:rPr>
          <w:lang w:val="en-GB"/>
        </w:rPr>
        <w:t xml:space="preserve"> (Holst 2014, Perner 2012, Poukkanen2013) this trial will have a power of 15% to detect an absolute risk reduction of 10%</w:t>
      </w:r>
      <w:r w:rsidR="00CC0558">
        <w:rPr>
          <w:lang w:val="en-GB"/>
        </w:rPr>
        <w:t>,</w:t>
      </w:r>
      <w:r w:rsidRPr="00DF3EFF">
        <w:rPr>
          <w:lang w:val="en-GB"/>
        </w:rPr>
        <w:t xml:space="preserve"> corresponding to a relative risk reduction of 20%.</w:t>
      </w:r>
    </w:p>
    <w:p w14:paraId="5BDCAFA8" w14:textId="77777777" w:rsidR="00494FE6" w:rsidRPr="00DF3EFF" w:rsidRDefault="00494FE6" w:rsidP="00494FE6">
      <w:pPr>
        <w:rPr>
          <w:lang w:val="en-GB"/>
        </w:rPr>
      </w:pPr>
    </w:p>
    <w:p w14:paraId="3C4B9992" w14:textId="53B137E2" w:rsidR="00494FE6" w:rsidRPr="00DF3EFF" w:rsidRDefault="00494FE6" w:rsidP="00494FE6">
      <w:pPr>
        <w:rPr>
          <w:lang w:val="en-GB"/>
        </w:rPr>
      </w:pPr>
      <w:r w:rsidRPr="00DF3EFF">
        <w:rPr>
          <w:lang w:val="en-GB"/>
        </w:rPr>
        <w:t xml:space="preserve">Since the power of the primary exploratory clinical outcomes is low, point estimates including any statistically significant differences will be interpreted with caution and </w:t>
      </w:r>
      <w:r w:rsidR="00CC0558">
        <w:rPr>
          <w:lang w:val="en-GB"/>
        </w:rPr>
        <w:t xml:space="preserve">will be regarded </w:t>
      </w:r>
      <w:r w:rsidRPr="00DF3EFF">
        <w:rPr>
          <w:lang w:val="en-GB"/>
        </w:rPr>
        <w:t>as hypothesis</w:t>
      </w:r>
      <w:r w:rsidR="00CC0558">
        <w:rPr>
          <w:lang w:val="en-GB"/>
        </w:rPr>
        <w:t>-</w:t>
      </w:r>
      <w:r w:rsidRPr="00DF3EFF">
        <w:rPr>
          <w:lang w:val="en-GB"/>
        </w:rPr>
        <w:t xml:space="preserve">generating only. </w:t>
      </w:r>
    </w:p>
    <w:p w14:paraId="39818C8E" w14:textId="7A2326BA" w:rsidR="00B334E8" w:rsidRPr="00DF3EFF" w:rsidRDefault="00B334E8" w:rsidP="00B334E8">
      <w:pPr>
        <w:pStyle w:val="Overskrift2"/>
      </w:pPr>
      <w:bookmarkStart w:id="14" w:name="_Toc104540072"/>
      <w:r w:rsidRPr="00DF3EFF">
        <w:lastRenderedPageBreak/>
        <w:t>Data collection</w:t>
      </w:r>
      <w:bookmarkEnd w:id="14"/>
    </w:p>
    <w:p w14:paraId="39F9FD0D" w14:textId="4356F4D0" w:rsidR="00B334E8" w:rsidRDefault="00B334E8" w:rsidP="00B334E8">
      <w:pPr>
        <w:rPr>
          <w:rFonts w:cs="Times New Roman"/>
          <w:color w:val="000000" w:themeColor="text1"/>
          <w:lang w:val="en-GB"/>
        </w:rPr>
      </w:pPr>
      <w:r w:rsidRPr="00DF3EFF">
        <w:rPr>
          <w:rFonts w:cs="Times New Roman"/>
          <w:color w:val="000000" w:themeColor="text1"/>
          <w:lang w:val="en-GB"/>
        </w:rPr>
        <w:t xml:space="preserve">Clinical, laboratory and background data will be collected at the time of enrolment, during </w:t>
      </w:r>
      <w:r w:rsidR="00BC3BAB">
        <w:rPr>
          <w:rFonts w:cs="Times New Roman"/>
          <w:color w:val="000000" w:themeColor="text1"/>
          <w:lang w:val="en-GB"/>
        </w:rPr>
        <w:t xml:space="preserve">the first 5 </w:t>
      </w:r>
      <w:r w:rsidRPr="00DF3EFF">
        <w:rPr>
          <w:rFonts w:cs="Times New Roman"/>
          <w:color w:val="000000" w:themeColor="text1"/>
          <w:lang w:val="en-GB"/>
        </w:rPr>
        <w:t>ICU-days</w:t>
      </w:r>
      <w:r w:rsidR="00BC3BAB">
        <w:rPr>
          <w:rFonts w:cs="Times New Roman"/>
          <w:color w:val="000000" w:themeColor="text1"/>
          <w:lang w:val="en-GB"/>
        </w:rPr>
        <w:t>.</w:t>
      </w:r>
      <w:r w:rsidRPr="00DF3EFF">
        <w:rPr>
          <w:rFonts w:cs="Times New Roman"/>
          <w:color w:val="000000" w:themeColor="text1"/>
          <w:lang w:val="en-GB"/>
        </w:rPr>
        <w:t xml:space="preserve"> </w:t>
      </w:r>
      <w:r w:rsidR="00BC3BAB">
        <w:rPr>
          <w:rFonts w:cs="Times New Roman"/>
          <w:color w:val="000000" w:themeColor="text1"/>
          <w:lang w:val="en-GB"/>
        </w:rPr>
        <w:t xml:space="preserve">Data </w:t>
      </w:r>
      <w:r w:rsidR="00196FB7">
        <w:rPr>
          <w:rFonts w:cs="Times New Roman"/>
          <w:color w:val="000000" w:themeColor="text1"/>
          <w:lang w:val="en-GB"/>
        </w:rPr>
        <w:t xml:space="preserve">concerning complications will be collected until </w:t>
      </w:r>
      <w:r w:rsidRPr="00DF3EFF">
        <w:rPr>
          <w:rFonts w:cs="Times New Roman"/>
          <w:color w:val="000000" w:themeColor="text1"/>
          <w:lang w:val="en-GB"/>
        </w:rPr>
        <w:t xml:space="preserve">ICU-discharge and </w:t>
      </w:r>
      <w:r w:rsidR="00196FB7">
        <w:rPr>
          <w:rFonts w:cs="Times New Roman"/>
          <w:color w:val="000000" w:themeColor="text1"/>
          <w:lang w:val="en-GB"/>
        </w:rPr>
        <w:t xml:space="preserve">data needed for assessment of feasibility- and clinical exploratory outcomes will be collected at 90 days and </w:t>
      </w:r>
      <w:r w:rsidRPr="00DF3EFF">
        <w:rPr>
          <w:rFonts w:cs="Times New Roman"/>
          <w:color w:val="000000" w:themeColor="text1"/>
          <w:lang w:val="en-GB"/>
        </w:rPr>
        <w:t>at 6</w:t>
      </w:r>
      <w:r w:rsidR="00281F4F" w:rsidRPr="00DF3EFF">
        <w:rPr>
          <w:rFonts w:cs="Times New Roman"/>
          <w:color w:val="000000" w:themeColor="text1"/>
          <w:lang w:val="en-GB"/>
        </w:rPr>
        <w:t>-</w:t>
      </w:r>
      <w:r w:rsidRPr="00DF3EFF">
        <w:rPr>
          <w:rFonts w:cs="Times New Roman"/>
          <w:color w:val="000000" w:themeColor="text1"/>
          <w:lang w:val="en-GB"/>
        </w:rPr>
        <w:t>month</w:t>
      </w:r>
      <w:r w:rsidR="00196FB7">
        <w:rPr>
          <w:rFonts w:cs="Times New Roman"/>
          <w:color w:val="000000" w:themeColor="text1"/>
          <w:lang w:val="en-GB"/>
        </w:rPr>
        <w:t>s as appropriate</w:t>
      </w:r>
      <w:r w:rsidRPr="00DF3EFF">
        <w:rPr>
          <w:rFonts w:cs="Times New Roman"/>
          <w:color w:val="000000" w:themeColor="text1"/>
          <w:lang w:val="en-GB"/>
        </w:rPr>
        <w:t>. Data will be obtained from hospital records, participants, relatives, and close friends</w:t>
      </w:r>
      <w:r w:rsidR="00F6183D">
        <w:rPr>
          <w:rFonts w:cs="Times New Roman"/>
          <w:color w:val="000000" w:themeColor="text1"/>
          <w:lang w:val="en-GB"/>
        </w:rPr>
        <w:t xml:space="preserve"> as needed</w:t>
      </w:r>
      <w:r w:rsidRPr="00DF3EFF">
        <w:rPr>
          <w:rFonts w:cs="Times New Roman"/>
          <w:color w:val="000000" w:themeColor="text1"/>
          <w:lang w:val="en-GB"/>
        </w:rPr>
        <w:t>, and will be entered into a web-based electronic case record form (eCRF) by site personnel. The site investigator must sign all eCRFs before trial completion to verify that the recorded data is correct and complete. Data from the web-based forms will be migrated to a trial database, which will be handled by the coordinating team. The sponsor</w:t>
      </w:r>
      <w:r w:rsidR="00F6183D">
        <w:rPr>
          <w:rFonts w:cs="Times New Roman"/>
          <w:color w:val="000000" w:themeColor="text1"/>
          <w:lang w:val="en-GB"/>
        </w:rPr>
        <w:t xml:space="preserve"> will</w:t>
      </w:r>
      <w:r w:rsidRPr="00DF3EFF">
        <w:rPr>
          <w:rFonts w:cs="Times New Roman"/>
          <w:color w:val="000000" w:themeColor="text1"/>
          <w:lang w:val="en-GB"/>
        </w:rPr>
        <w:t xml:space="preserve"> suppl</w:t>
      </w:r>
      <w:r w:rsidR="00F6183D">
        <w:rPr>
          <w:rFonts w:cs="Times New Roman"/>
          <w:color w:val="000000" w:themeColor="text1"/>
          <w:lang w:val="en-GB"/>
        </w:rPr>
        <w:t>y</w:t>
      </w:r>
      <w:r w:rsidRPr="00DF3EFF">
        <w:rPr>
          <w:rFonts w:cs="Times New Roman"/>
          <w:color w:val="000000" w:themeColor="text1"/>
          <w:lang w:val="en-GB"/>
        </w:rPr>
        <w:t xml:space="preserve"> a standard description of all units of measurement in the eCRF. If a trial site uses different units of measurement and this might be a potential source of error, the site investigator should contact the coordinating team to have the data capture module modified. Data not obtainable will be registered as missing and measures to obtain data </w:t>
      </w:r>
      <w:r w:rsidR="00ED03EE">
        <w:rPr>
          <w:rFonts w:cs="Times New Roman"/>
          <w:color w:val="000000" w:themeColor="text1"/>
          <w:lang w:val="en-GB"/>
        </w:rPr>
        <w:t>will</w:t>
      </w:r>
      <w:r w:rsidRPr="00DF3EFF">
        <w:rPr>
          <w:rFonts w:cs="Times New Roman"/>
          <w:color w:val="000000" w:themeColor="text1"/>
          <w:lang w:val="en-GB"/>
        </w:rPr>
        <w:t xml:space="preserve"> not delay </w:t>
      </w:r>
      <w:r w:rsidR="00F6183D">
        <w:rPr>
          <w:rFonts w:cs="Times New Roman"/>
          <w:color w:val="000000" w:themeColor="text1"/>
          <w:lang w:val="en-GB"/>
        </w:rPr>
        <w:t xml:space="preserve">the </w:t>
      </w:r>
      <w:r w:rsidRPr="00DF3EFF">
        <w:rPr>
          <w:rFonts w:cs="Times New Roman"/>
          <w:color w:val="000000" w:themeColor="text1"/>
          <w:lang w:val="en-GB"/>
        </w:rPr>
        <w:t xml:space="preserve">intervention or concomitant treatment. A detailed description of data is provided in </w:t>
      </w:r>
      <w:r w:rsidR="00F6183D">
        <w:rPr>
          <w:rFonts w:cs="Times New Roman"/>
          <w:color w:val="000000" w:themeColor="text1"/>
          <w:lang w:val="en-GB"/>
        </w:rPr>
        <w:t xml:space="preserve">the </w:t>
      </w:r>
      <w:r w:rsidRPr="00DF3EFF">
        <w:rPr>
          <w:rFonts w:cs="Times New Roman"/>
          <w:b/>
          <w:bCs/>
          <w:color w:val="000000" w:themeColor="text1"/>
          <w:lang w:val="en-GB"/>
        </w:rPr>
        <w:t>Supplemental Material</w:t>
      </w:r>
      <w:r w:rsidRPr="00DF3EFF">
        <w:rPr>
          <w:rFonts w:cs="Times New Roman"/>
          <w:color w:val="000000" w:themeColor="text1"/>
          <w:lang w:val="en-GB"/>
        </w:rPr>
        <w:t>.</w:t>
      </w:r>
    </w:p>
    <w:p w14:paraId="668E0242" w14:textId="77777777" w:rsidR="00F53227" w:rsidRPr="00DF3EFF" w:rsidRDefault="00F53227" w:rsidP="00B334E8">
      <w:pPr>
        <w:rPr>
          <w:rFonts w:cs="Times New Roman"/>
          <w:color w:val="000000" w:themeColor="text1"/>
          <w:lang w:val="en-GB"/>
        </w:rPr>
      </w:pPr>
    </w:p>
    <w:p w14:paraId="40E091E0" w14:textId="0E803CE3" w:rsidR="008976CE" w:rsidRPr="00DF3EFF" w:rsidRDefault="008976CE" w:rsidP="00E85C75">
      <w:pPr>
        <w:pStyle w:val="Overskrift2"/>
      </w:pPr>
      <w:bookmarkStart w:id="15" w:name="_Toc104540079"/>
      <w:r w:rsidRPr="00DF3EFF">
        <w:t>Data management</w:t>
      </w:r>
      <w:bookmarkEnd w:id="15"/>
      <w:r w:rsidRPr="00DF3EFF">
        <w:t xml:space="preserve"> </w:t>
      </w:r>
    </w:p>
    <w:p w14:paraId="02490BB5" w14:textId="5BEAE806" w:rsidR="008976CE" w:rsidRPr="00DF3EFF" w:rsidRDefault="008976CE" w:rsidP="009D6969">
      <w:pPr>
        <w:pStyle w:val="Overskrift3"/>
      </w:pPr>
      <w:bookmarkStart w:id="16" w:name="_Toc104540080"/>
      <w:r w:rsidRPr="00DF3EFF">
        <w:t>Data handling and record keeping</w:t>
      </w:r>
      <w:bookmarkEnd w:id="16"/>
    </w:p>
    <w:p w14:paraId="4752BD40" w14:textId="7DEB131F" w:rsidR="008976CE" w:rsidRPr="00DF3EFF" w:rsidRDefault="008976CE" w:rsidP="008976CE">
      <w:pPr>
        <w:rPr>
          <w:rFonts w:cs="Times New Roman"/>
          <w:color w:val="000000" w:themeColor="text1"/>
          <w:highlight w:val="yellow"/>
          <w:lang w:val="en-GB"/>
        </w:rPr>
      </w:pPr>
      <w:r w:rsidRPr="00DF3EFF">
        <w:rPr>
          <w:rFonts w:cs="Times New Roman"/>
          <w:color w:val="000000" w:themeColor="text1"/>
          <w:lang w:val="en-GB"/>
        </w:rPr>
        <w:t xml:space="preserve">Individual participant data will be handled as ordinary chart records and will be kept according to </w:t>
      </w:r>
      <w:r w:rsidR="00196FB7">
        <w:rPr>
          <w:rFonts w:cs="Times New Roman"/>
          <w:color w:val="000000" w:themeColor="text1"/>
          <w:lang w:val="en-GB"/>
        </w:rPr>
        <w:t>Swedish law</w:t>
      </w:r>
      <w:r w:rsidRPr="00DF3EFF">
        <w:rPr>
          <w:rFonts w:cs="Times New Roman"/>
          <w:color w:val="000000" w:themeColor="text1"/>
          <w:lang w:val="en-GB"/>
        </w:rPr>
        <w:t xml:space="preserve"> (e.g. data protection agencies</w:t>
      </w:r>
      <w:r w:rsidR="00196FB7">
        <w:rPr>
          <w:rFonts w:cs="Times New Roman"/>
          <w:color w:val="000000" w:themeColor="text1"/>
          <w:lang w:val="en-GB"/>
        </w:rPr>
        <w:t xml:space="preserve">). </w:t>
      </w:r>
      <w:r w:rsidRPr="00DF3EFF">
        <w:rPr>
          <w:rFonts w:cs="Times New Roman"/>
          <w:color w:val="000000" w:themeColor="text1"/>
          <w:lang w:val="en-GB"/>
        </w:rPr>
        <w:t xml:space="preserve">Data will be entered into the eCRF. The electronic data capture module fulfils criteria for handling of patient data according to the Swedish legislation on management of personal data </w:t>
      </w:r>
      <w:r w:rsidR="00196FB7">
        <w:rPr>
          <w:rFonts w:cs="Times New Roman"/>
          <w:color w:val="000000" w:themeColor="text1"/>
          <w:lang w:val="en-GB"/>
        </w:rPr>
        <w:t xml:space="preserve">and </w:t>
      </w:r>
      <w:r w:rsidRPr="00DF3EFF">
        <w:rPr>
          <w:rFonts w:cs="Times New Roman"/>
          <w:color w:val="000000" w:themeColor="text1"/>
          <w:lang w:val="en-GB"/>
        </w:rPr>
        <w:t xml:space="preserve">will be compliant with </w:t>
      </w:r>
      <w:r w:rsidRPr="00DF3EFF">
        <w:rPr>
          <w:rFonts w:eastAsia="Times New Roman" w:cs="Arial"/>
          <w:bCs/>
          <w:color w:val="000000" w:themeColor="text1"/>
          <w:lang w:val="en-GB" w:eastAsia="sv-SE"/>
        </w:rPr>
        <w:t xml:space="preserve">the </w:t>
      </w:r>
      <w:r w:rsidRPr="00DF3EFF">
        <w:rPr>
          <w:rFonts w:cs="Times New Roman"/>
          <w:bCs/>
          <w:color w:val="000000" w:themeColor="text1"/>
          <w:lang w:val="en-GB"/>
        </w:rPr>
        <w:t>General Data Protection Regulation</w:t>
      </w:r>
      <w:r w:rsidRPr="00DF3EFF">
        <w:rPr>
          <w:rFonts w:cs="Times New Roman"/>
          <w:color w:val="000000" w:themeColor="text1"/>
          <w:lang w:val="en-GB"/>
        </w:rPr>
        <w:t xml:space="preserve"> of the EU (European Parliament and Council of the European Union. Directive 2001/20/EC)</w:t>
      </w:r>
      <w:r w:rsidR="00196FB7">
        <w:rPr>
          <w:rFonts w:cs="Times New Roman"/>
          <w:color w:val="000000" w:themeColor="text1"/>
          <w:lang w:val="en-GB"/>
        </w:rPr>
        <w:t xml:space="preserve">. </w:t>
      </w:r>
      <w:r w:rsidRPr="00DF3EFF">
        <w:rPr>
          <w:rFonts w:cs="Times New Roman"/>
          <w:color w:val="000000" w:themeColor="text1"/>
          <w:lang w:val="en-GB"/>
        </w:rPr>
        <w:t xml:space="preserve">All original records on paper will be retained at trial sites or at the trial </w:t>
      </w:r>
      <w:r w:rsidR="00196FB7">
        <w:rPr>
          <w:rFonts w:cs="Times New Roman"/>
          <w:color w:val="000000" w:themeColor="text1"/>
          <w:lang w:val="en-GB"/>
        </w:rPr>
        <w:t xml:space="preserve">coordinating centre </w:t>
      </w:r>
      <w:r w:rsidRPr="00DF3EFF">
        <w:rPr>
          <w:rFonts w:cs="Times New Roman"/>
          <w:color w:val="000000" w:themeColor="text1"/>
          <w:lang w:val="en-GB"/>
        </w:rPr>
        <w:t xml:space="preserve">for </w:t>
      </w:r>
      <w:r w:rsidR="00ED03EE">
        <w:rPr>
          <w:rFonts w:cs="Times New Roman"/>
          <w:color w:val="000000" w:themeColor="text1"/>
          <w:lang w:val="en-GB"/>
        </w:rPr>
        <w:t xml:space="preserve">at least </w:t>
      </w:r>
      <w:r w:rsidRPr="00DF3EFF">
        <w:rPr>
          <w:rFonts w:cs="Times New Roman"/>
          <w:color w:val="000000" w:themeColor="text1"/>
          <w:lang w:val="en-GB"/>
        </w:rPr>
        <w:t xml:space="preserve">15 years to allow inspection by relevant authorities. The trial database will be maintained for </w:t>
      </w:r>
      <w:r w:rsidR="00ED03EE">
        <w:rPr>
          <w:rFonts w:cs="Times New Roman"/>
          <w:color w:val="000000" w:themeColor="text1"/>
          <w:lang w:val="en-GB"/>
        </w:rPr>
        <w:t xml:space="preserve">at least </w:t>
      </w:r>
      <w:r w:rsidRPr="00DF3EFF">
        <w:rPr>
          <w:rFonts w:cs="Times New Roman"/>
          <w:color w:val="000000" w:themeColor="text1"/>
          <w:lang w:val="en-GB"/>
        </w:rPr>
        <w:t>15 years and anonymised if requested for revision.</w:t>
      </w:r>
    </w:p>
    <w:p w14:paraId="5F1271D0" w14:textId="5DD403BF" w:rsidR="008976CE" w:rsidRPr="00DF3EFF" w:rsidRDefault="008976CE" w:rsidP="009D6969">
      <w:pPr>
        <w:pStyle w:val="Overskrift3"/>
      </w:pPr>
      <w:bookmarkStart w:id="17" w:name="_Toc104540081"/>
      <w:r w:rsidRPr="00DF3EFF">
        <w:t>Quality control and quality assurance</w:t>
      </w:r>
      <w:bookmarkEnd w:id="17"/>
    </w:p>
    <w:p w14:paraId="466DB0EB" w14:textId="45E5AD24" w:rsidR="00B334E8" w:rsidRDefault="008976CE" w:rsidP="00B334E8">
      <w:pPr>
        <w:rPr>
          <w:rFonts w:cs="Times New Roman"/>
          <w:color w:val="000000" w:themeColor="text1"/>
          <w:lang w:val="en-GB"/>
        </w:rPr>
      </w:pPr>
      <w:r w:rsidRPr="00DF3EFF">
        <w:rPr>
          <w:rFonts w:cs="Times New Roman"/>
          <w:color w:val="000000" w:themeColor="text1"/>
          <w:lang w:val="en-GB"/>
        </w:rPr>
        <w:t>The trial will be externally monitored by national monitoring offices coordinated by the clinical trial manager and Clinical Studies Sweden, Forum South.</w:t>
      </w:r>
      <w:r w:rsidRPr="00DF3EFF">
        <w:rPr>
          <w:rFonts w:cs="Arial"/>
          <w:lang w:val="en-GB"/>
        </w:rPr>
        <w:t xml:space="preserve"> All </w:t>
      </w:r>
      <w:r w:rsidR="00F53227">
        <w:rPr>
          <w:rFonts w:cs="Arial"/>
          <w:lang w:val="en-GB"/>
        </w:rPr>
        <w:t>data</w:t>
      </w:r>
      <w:r w:rsidRPr="00DF3EFF">
        <w:rPr>
          <w:rFonts w:cs="Arial"/>
          <w:lang w:val="en-GB"/>
        </w:rPr>
        <w:t xml:space="preserve"> will be collected in a </w:t>
      </w:r>
      <w:r w:rsidRPr="00DF3EFF">
        <w:rPr>
          <w:rFonts w:cs="Arial"/>
          <w:lang w:val="en-GB"/>
        </w:rPr>
        <w:lastRenderedPageBreak/>
        <w:t xml:space="preserve">participant-specific ledger or directly in the eCRF. Site principal investigators will be responsible for training of clinical staff on how to enter </w:t>
      </w:r>
      <w:r w:rsidR="00F53227">
        <w:rPr>
          <w:rFonts w:cs="Arial"/>
          <w:lang w:val="en-GB"/>
        </w:rPr>
        <w:t xml:space="preserve">data </w:t>
      </w:r>
      <w:r w:rsidRPr="00DF3EFF">
        <w:rPr>
          <w:rFonts w:cs="Arial"/>
          <w:lang w:val="en-GB"/>
        </w:rPr>
        <w:t>correctly. Special emphasis will be given to how to record fluid administration and fluid balance in a standardized manner. Instructions will be available in the trial ledger, on the trial</w:t>
      </w:r>
      <w:r w:rsidR="00977B21">
        <w:rPr>
          <w:rFonts w:cs="Arial"/>
          <w:lang w:val="en-GB"/>
        </w:rPr>
        <w:t xml:space="preserve"> online repository</w:t>
      </w:r>
      <w:r w:rsidRPr="00DF3EFF">
        <w:rPr>
          <w:rFonts w:cs="Arial"/>
          <w:lang w:val="en-GB"/>
        </w:rPr>
        <w:t xml:space="preserve"> and in the eCRF. All sites will have a digital site initiation meeting with monitors before </w:t>
      </w:r>
      <w:r w:rsidR="00F53227">
        <w:rPr>
          <w:rFonts w:cs="Arial"/>
          <w:lang w:val="en-GB"/>
        </w:rPr>
        <w:t xml:space="preserve">the </w:t>
      </w:r>
      <w:r w:rsidRPr="00DF3EFF">
        <w:rPr>
          <w:rFonts w:cs="Arial"/>
          <w:lang w:val="en-GB"/>
        </w:rPr>
        <w:t xml:space="preserve">start of inclusion and </w:t>
      </w:r>
      <w:r w:rsidR="00977B21">
        <w:rPr>
          <w:rFonts w:cs="Arial"/>
          <w:lang w:val="en-GB"/>
        </w:rPr>
        <w:t xml:space="preserve">a close out visit </w:t>
      </w:r>
      <w:r w:rsidRPr="00DF3EFF">
        <w:rPr>
          <w:rFonts w:cs="Arial"/>
          <w:lang w:val="en-GB"/>
        </w:rPr>
        <w:t xml:space="preserve">at end of study. The visits will include control of routines for data collection and data entry as well as quality control of data by comparing selected source data with data entered in eCRF. </w:t>
      </w:r>
      <w:r w:rsidRPr="00DF3EFF">
        <w:rPr>
          <w:rFonts w:cs="Times New Roman"/>
          <w:color w:val="000000" w:themeColor="text1"/>
          <w:lang w:val="en-GB"/>
        </w:rPr>
        <w:t xml:space="preserve">The site investigator will be responsible for ensuring that all relevant data are entered into the eCRF. To promote data quality, the eCRF will have several inbuilt mechanisms to prevent data entry errors such as range checks for data values. </w:t>
      </w:r>
    </w:p>
    <w:p w14:paraId="771D3603" w14:textId="77777777" w:rsidR="00F53227" w:rsidRPr="00DF3EFF" w:rsidRDefault="00F53227" w:rsidP="00B334E8">
      <w:pPr>
        <w:rPr>
          <w:rFonts w:cs="Times New Roman"/>
          <w:color w:val="000000" w:themeColor="text1"/>
          <w:lang w:val="en-GB"/>
        </w:rPr>
      </w:pPr>
    </w:p>
    <w:p w14:paraId="3C5E3C66" w14:textId="77777777" w:rsidR="00625302" w:rsidRPr="00DF3EFF" w:rsidRDefault="00625302" w:rsidP="00625302">
      <w:pPr>
        <w:pStyle w:val="Overskrift1"/>
      </w:pPr>
      <w:r w:rsidRPr="00DF3EFF">
        <w:t>General analysis principles</w:t>
      </w:r>
    </w:p>
    <w:p w14:paraId="063FDD4A" w14:textId="445A5B3A" w:rsidR="00625302" w:rsidRPr="00977B21" w:rsidRDefault="00625302" w:rsidP="00625302">
      <w:pPr>
        <w:rPr>
          <w:lang w:val="en-GB"/>
        </w:rPr>
      </w:pPr>
      <w:r w:rsidRPr="00977B21">
        <w:rPr>
          <w:lang w:val="en-GB"/>
        </w:rPr>
        <w:t xml:space="preserve">Statistical analyses will be performed using the latest stable version of R (R Core Team, Vienna, Austria), SAS (SAS Institute, North Carolina, USA), and/or Stata (StataCorp LLC, Texas, USA). </w:t>
      </w:r>
      <w:bookmarkStart w:id="18" w:name="_Hlk95987165"/>
      <w:r w:rsidRPr="00977B21">
        <w:rPr>
          <w:lang w:val="en-GB"/>
        </w:rPr>
        <w:t>We will use at least two different software for each analysis.</w:t>
      </w:r>
      <w:r w:rsidR="00366C57">
        <w:rPr>
          <w:lang w:val="en-GB"/>
        </w:rPr>
        <w:t xml:space="preserve"> If differences occur solely based on software specific differences, the most conservative result will be chosen.</w:t>
      </w:r>
      <w:r w:rsidRPr="00977B21">
        <w:rPr>
          <w:lang w:val="en-GB"/>
        </w:rPr>
        <w:t xml:space="preserve"> </w:t>
      </w:r>
      <w:bookmarkEnd w:id="18"/>
      <w:r w:rsidRPr="00977B21">
        <w:rPr>
          <w:lang w:val="en-GB"/>
        </w:rPr>
        <w:t>All valid measurements from all randomised participants will be included in all analyses (the intention-to-treat principle). Dropouts and discontinuation of treatment will be reported.</w:t>
      </w:r>
      <w:r w:rsidR="003A230F" w:rsidRPr="00977B21">
        <w:rPr>
          <w:lang w:val="en-GB"/>
        </w:rPr>
        <w:t xml:space="preserve"> </w:t>
      </w:r>
      <w:r w:rsidRPr="00977B21">
        <w:rPr>
          <w:lang w:val="en-GB"/>
        </w:rPr>
        <w:t>Demogra</w:t>
      </w:r>
      <w:r w:rsidR="0021396C" w:rsidRPr="00977B21">
        <w:rPr>
          <w:lang w:val="en-GB"/>
        </w:rPr>
        <w:t>ph</w:t>
      </w:r>
      <w:r w:rsidRPr="00977B21">
        <w:rPr>
          <w:lang w:val="en-GB"/>
        </w:rPr>
        <w:t xml:space="preserve">ic data for each group </w:t>
      </w:r>
      <w:r w:rsidR="00A87B4C" w:rsidRPr="00977B21">
        <w:rPr>
          <w:lang w:val="en-GB"/>
        </w:rPr>
        <w:t xml:space="preserve">and a </w:t>
      </w:r>
      <w:r w:rsidR="00F53227">
        <w:rPr>
          <w:lang w:val="en-GB"/>
        </w:rPr>
        <w:t>CONSORT flow</w:t>
      </w:r>
      <w:r w:rsidR="00F53227" w:rsidRPr="00977B21">
        <w:rPr>
          <w:lang w:val="en-GB"/>
        </w:rPr>
        <w:t xml:space="preserve"> </w:t>
      </w:r>
      <w:r w:rsidR="00A87B4C" w:rsidRPr="00977B21">
        <w:rPr>
          <w:lang w:val="en-GB"/>
        </w:rPr>
        <w:t xml:space="preserve">chart </w:t>
      </w:r>
      <w:r w:rsidR="00F53227">
        <w:rPr>
          <w:lang w:val="en-GB"/>
        </w:rPr>
        <w:t xml:space="preserve">of inclusion </w:t>
      </w:r>
      <w:r w:rsidR="00A87B4C" w:rsidRPr="00977B21">
        <w:rPr>
          <w:lang w:val="en-GB"/>
        </w:rPr>
        <w:t>will be presented</w:t>
      </w:r>
      <w:r w:rsidRPr="00977B21">
        <w:rPr>
          <w:lang w:val="en-GB"/>
        </w:rPr>
        <w:t xml:space="preserve">. </w:t>
      </w:r>
    </w:p>
    <w:p w14:paraId="7F084842" w14:textId="77777777" w:rsidR="009D5632" w:rsidRPr="00977B21" w:rsidRDefault="009D5632" w:rsidP="00625302">
      <w:pPr>
        <w:rPr>
          <w:lang w:val="en-GB"/>
        </w:rPr>
      </w:pPr>
    </w:p>
    <w:p w14:paraId="40A9A5EA" w14:textId="33CFBC68" w:rsidR="009D5632" w:rsidRPr="00977B21" w:rsidRDefault="009D5632" w:rsidP="00625302">
      <w:pPr>
        <w:rPr>
          <w:lang w:val="en-GB"/>
        </w:rPr>
      </w:pPr>
      <w:r w:rsidRPr="00977B21">
        <w:rPr>
          <w:lang w:val="en-GB"/>
        </w:rPr>
        <w:t>A per-protocol analysis will be used for the primary outcome as a sensitivity analysis investigation into the effect of the intervention, and the reasons for not following the protocol will be outlined in detail. This</w:t>
      </w:r>
      <w:r w:rsidR="00B12396">
        <w:rPr>
          <w:lang w:val="en-GB"/>
        </w:rPr>
        <w:t xml:space="preserve"> data will receive particular focus as</w:t>
      </w:r>
      <w:r w:rsidRPr="00977B21">
        <w:rPr>
          <w:lang w:val="en-GB"/>
        </w:rPr>
        <w:t xml:space="preserve"> it w</w:t>
      </w:r>
      <w:r w:rsidR="00B12396">
        <w:rPr>
          <w:lang w:val="en-GB"/>
        </w:rPr>
        <w:t>ill</w:t>
      </w:r>
      <w:r w:rsidRPr="00977B21">
        <w:rPr>
          <w:lang w:val="en-GB"/>
        </w:rPr>
        <w:t xml:space="preserve"> inform a larger </w:t>
      </w:r>
      <w:r w:rsidR="00B12396">
        <w:rPr>
          <w:lang w:val="en-GB"/>
        </w:rPr>
        <w:t xml:space="preserve">future </w:t>
      </w:r>
      <w:r w:rsidRPr="00977B21">
        <w:rPr>
          <w:lang w:val="en-GB"/>
        </w:rPr>
        <w:t>trial on ways to optimize the design.</w:t>
      </w:r>
    </w:p>
    <w:p w14:paraId="0EABC9B1" w14:textId="77777777" w:rsidR="009D5632" w:rsidRPr="00977B21" w:rsidRDefault="009D5632" w:rsidP="00625302">
      <w:pPr>
        <w:rPr>
          <w:lang w:val="en-GB"/>
        </w:rPr>
      </w:pPr>
    </w:p>
    <w:p w14:paraId="6C9DFB5E" w14:textId="77777777" w:rsidR="00625302" w:rsidRPr="00DF3EFF" w:rsidRDefault="00625302" w:rsidP="00625302">
      <w:pPr>
        <w:pStyle w:val="Overskrift2"/>
      </w:pPr>
      <w:r w:rsidRPr="00DF3EFF">
        <w:t>Statistical analysis</w:t>
      </w:r>
    </w:p>
    <w:p w14:paraId="251EC705" w14:textId="77777777" w:rsidR="00625302" w:rsidRPr="00DF3EFF" w:rsidRDefault="00625302" w:rsidP="009D6969">
      <w:pPr>
        <w:pStyle w:val="Overskrift3"/>
        <w:rPr>
          <w:rFonts w:ascii="Calibri" w:hAnsi="Calibri" w:cstheme="minorHAnsi"/>
          <w:szCs w:val="24"/>
        </w:rPr>
      </w:pPr>
      <w:r w:rsidRPr="00DF3EFF">
        <w:t>Continuous outcomes</w:t>
      </w:r>
    </w:p>
    <w:p w14:paraId="28C5BFDE" w14:textId="6886AE3B" w:rsidR="00625302" w:rsidRPr="00977B21" w:rsidRDefault="00625302" w:rsidP="00625302">
      <w:pPr>
        <w:rPr>
          <w:lang w:val="en-GB"/>
        </w:rPr>
      </w:pPr>
      <w:r w:rsidRPr="00977B21">
        <w:rPr>
          <w:lang w:val="en-GB"/>
        </w:rPr>
        <w:t xml:space="preserve">Continuous outcomes will be presented as means and 95% confidence intervals </w:t>
      </w:r>
      <w:r w:rsidR="00366C57">
        <w:rPr>
          <w:lang w:val="en-GB"/>
        </w:rPr>
        <w:t xml:space="preserve">and/or </w:t>
      </w:r>
      <w:r w:rsidRPr="00977B21">
        <w:rPr>
          <w:lang w:val="en-GB"/>
        </w:rPr>
        <w:t>SD.</w:t>
      </w:r>
      <w:r w:rsidR="000E1267" w:rsidRPr="00977B21">
        <w:rPr>
          <w:lang w:val="en-GB"/>
        </w:rPr>
        <w:t xml:space="preserve"> If continuous data is not normally distributed</w:t>
      </w:r>
      <w:r w:rsidR="00DC02A2" w:rsidRPr="00977B21">
        <w:rPr>
          <w:lang w:val="en-GB"/>
        </w:rPr>
        <w:t>,</w:t>
      </w:r>
      <w:r w:rsidR="000E1267" w:rsidRPr="00977B21">
        <w:rPr>
          <w:lang w:val="en-GB"/>
        </w:rPr>
        <w:t xml:space="preserve"> it will be handled as count data</w:t>
      </w:r>
      <w:r w:rsidR="002E17F5">
        <w:rPr>
          <w:lang w:val="en-GB"/>
        </w:rPr>
        <w:t xml:space="preserve"> (see</w:t>
      </w:r>
      <w:r w:rsidR="0085525A">
        <w:rPr>
          <w:lang w:val="en-GB"/>
        </w:rPr>
        <w:t xml:space="preserve"> below</w:t>
      </w:r>
      <w:r w:rsidR="002E17F5">
        <w:rPr>
          <w:lang w:val="en-GB"/>
        </w:rPr>
        <w:t>)</w:t>
      </w:r>
      <w:r w:rsidR="000E1267" w:rsidRPr="00977B21">
        <w:rPr>
          <w:lang w:val="en-GB"/>
        </w:rPr>
        <w:t>.</w:t>
      </w:r>
      <w:r w:rsidRPr="00977B21">
        <w:rPr>
          <w:lang w:val="en-GB"/>
        </w:rPr>
        <w:t xml:space="preserve"> Continuous outcomes will be analysed using </w:t>
      </w:r>
      <w:r w:rsidR="002E572D" w:rsidRPr="00977B21">
        <w:rPr>
          <w:lang w:val="en-GB"/>
        </w:rPr>
        <w:t xml:space="preserve">mixed effects </w:t>
      </w:r>
      <w:r w:rsidRPr="00977B21">
        <w:rPr>
          <w:lang w:val="en-GB"/>
        </w:rPr>
        <w:t xml:space="preserve">linear regression adjusted for the </w:t>
      </w:r>
      <w:r w:rsidR="002E572D" w:rsidRPr="00977B21">
        <w:rPr>
          <w:lang w:val="en-GB"/>
        </w:rPr>
        <w:lastRenderedPageBreak/>
        <w:t xml:space="preserve">site as a random variable </w:t>
      </w:r>
      <w:r w:rsidRPr="00977B21">
        <w:rPr>
          <w:lang w:val="en-GB"/>
        </w:rPr>
        <w:t xml:space="preserve">and </w:t>
      </w:r>
      <w:r w:rsidR="0085525A">
        <w:rPr>
          <w:lang w:val="en-GB"/>
        </w:rPr>
        <w:t xml:space="preserve">the </w:t>
      </w:r>
      <w:r w:rsidRPr="00977B21">
        <w:rPr>
          <w:lang w:val="en-GB"/>
        </w:rPr>
        <w:t>baseline value of the continuous outcome</w:t>
      </w:r>
      <w:r w:rsidR="002E572D" w:rsidRPr="00977B21">
        <w:rPr>
          <w:lang w:val="en-GB"/>
        </w:rPr>
        <w:t xml:space="preserve"> as a fixed variable</w:t>
      </w:r>
      <w:r w:rsidRPr="00977B21">
        <w:rPr>
          <w:lang w:val="en-GB"/>
        </w:rPr>
        <w:t>, if a</w:t>
      </w:r>
      <w:r w:rsidR="00977B21">
        <w:rPr>
          <w:lang w:val="en-GB"/>
        </w:rPr>
        <w:t>pplicable.</w:t>
      </w:r>
    </w:p>
    <w:p w14:paraId="53500477" w14:textId="77777777" w:rsidR="00625302" w:rsidRPr="00DF3EFF" w:rsidRDefault="00625302" w:rsidP="000D6604">
      <w:pPr>
        <w:pStyle w:val="Overskrift3"/>
      </w:pPr>
      <w:r w:rsidRPr="00DF3EFF">
        <w:t>Count data outcomes</w:t>
      </w:r>
    </w:p>
    <w:p w14:paraId="7C9792D9" w14:textId="45B39777" w:rsidR="00E86030" w:rsidRPr="00977B21" w:rsidRDefault="00625302" w:rsidP="00625302">
      <w:pPr>
        <w:rPr>
          <w:lang w:val="en-GB"/>
        </w:rPr>
      </w:pPr>
      <w:r w:rsidRPr="00977B21">
        <w:rPr>
          <w:lang w:val="en-GB"/>
        </w:rPr>
        <w:t>Count data outcomes will be presented as medians and interquartile ranges in figures and in a supplemental table. Count data will be analy</w:t>
      </w:r>
      <w:r w:rsidR="00E86030" w:rsidRPr="00977B21">
        <w:rPr>
          <w:lang w:val="en-GB"/>
        </w:rPr>
        <w:t>s</w:t>
      </w:r>
      <w:r w:rsidRPr="00977B21">
        <w:rPr>
          <w:lang w:val="en-GB"/>
        </w:rPr>
        <w:t xml:space="preserve">ed using the </w:t>
      </w:r>
      <w:r w:rsidR="00E801E9" w:rsidRPr="00977B21">
        <w:rPr>
          <w:lang w:val="en-GB"/>
        </w:rPr>
        <w:t>v</w:t>
      </w:r>
      <w:r w:rsidR="00612A83" w:rsidRPr="00977B21">
        <w:rPr>
          <w:lang w:val="en-GB"/>
        </w:rPr>
        <w:t>an Elteren test with site as a stratification variable. M</w:t>
      </w:r>
      <w:r w:rsidRPr="00977B21">
        <w:rPr>
          <w:lang w:val="en-GB"/>
        </w:rPr>
        <w:t xml:space="preserve">edian differences and corresponding confidence intervals will be presented using </w:t>
      </w:r>
      <w:r w:rsidR="00A215B3">
        <w:rPr>
          <w:lang w:val="en-GB"/>
        </w:rPr>
        <w:t xml:space="preserve">the </w:t>
      </w:r>
      <w:r w:rsidRPr="00977B21">
        <w:rPr>
          <w:lang w:val="en-GB"/>
        </w:rPr>
        <w:t>Hodges-Lehman</w:t>
      </w:r>
      <w:r w:rsidR="00A215B3">
        <w:rPr>
          <w:lang w:val="en-GB"/>
        </w:rPr>
        <w:t xml:space="preserve"> estimator</w:t>
      </w:r>
      <w:r w:rsidRPr="00977B21">
        <w:rPr>
          <w:lang w:val="en-GB"/>
        </w:rPr>
        <w:t>.</w:t>
      </w:r>
    </w:p>
    <w:p w14:paraId="5DE982BF" w14:textId="77777777" w:rsidR="00E86030" w:rsidRPr="00DF3EFF" w:rsidRDefault="00E86030" w:rsidP="00625302">
      <w:pPr>
        <w:rPr>
          <w:rFonts w:ascii="TdkdrpAdvTT99c4c969" w:hAnsi="TdkdrpAdvTT99c4c969" w:cs="TdkdrpAdvTT99c4c969"/>
          <w:sz w:val="18"/>
          <w:szCs w:val="18"/>
          <w:lang w:val="en-GB"/>
        </w:rPr>
      </w:pPr>
    </w:p>
    <w:p w14:paraId="2689B17A" w14:textId="77777777" w:rsidR="00625302" w:rsidRPr="00977B21" w:rsidRDefault="00625302" w:rsidP="00887514">
      <w:pPr>
        <w:rPr>
          <w:lang w:val="en-GB"/>
        </w:rPr>
      </w:pPr>
      <w:r w:rsidRPr="00977B21">
        <w:rPr>
          <w:u w:val="single"/>
          <w:lang w:val="en-GB"/>
        </w:rPr>
        <w:t>Dichotomous outcomes</w:t>
      </w:r>
    </w:p>
    <w:p w14:paraId="6249B339" w14:textId="46605BF8" w:rsidR="00E86030" w:rsidRPr="00977B21" w:rsidRDefault="00625302" w:rsidP="00625302">
      <w:pPr>
        <w:rPr>
          <w:lang w:val="en-GB"/>
        </w:rPr>
      </w:pPr>
      <w:r w:rsidRPr="00977B21">
        <w:rPr>
          <w:lang w:val="en-GB"/>
        </w:rPr>
        <w:t xml:space="preserve">Dichotomous outcomes will be presented as proportions for each group and will be analysed using </w:t>
      </w:r>
      <w:r w:rsidR="00A215B3">
        <w:rPr>
          <w:lang w:val="en-GB"/>
        </w:rPr>
        <w:t xml:space="preserve">a </w:t>
      </w:r>
      <w:r w:rsidR="00E20DA3" w:rsidRPr="00977B21">
        <w:rPr>
          <w:lang w:val="en-GB"/>
        </w:rPr>
        <w:t xml:space="preserve">mixed effects </w:t>
      </w:r>
      <w:r w:rsidRPr="00977B21">
        <w:rPr>
          <w:lang w:val="en-GB"/>
        </w:rPr>
        <w:t xml:space="preserve">logistic regression with </w:t>
      </w:r>
      <w:r w:rsidR="00E20DA3" w:rsidRPr="00977B21">
        <w:rPr>
          <w:lang w:val="en-GB"/>
        </w:rPr>
        <w:t>site as a random variable</w:t>
      </w:r>
      <w:r w:rsidRPr="00977B21">
        <w:rPr>
          <w:lang w:val="en-GB"/>
        </w:rPr>
        <w:t xml:space="preserve">. </w:t>
      </w:r>
      <w:bookmarkStart w:id="19" w:name="_Hlk105964764"/>
      <w:bookmarkStart w:id="20" w:name="_Hlk105964406"/>
      <w:r w:rsidRPr="00977B21">
        <w:rPr>
          <w:lang w:val="en-GB"/>
        </w:rPr>
        <w:t xml:space="preserve">We will estimate the marginal effects to obtain relative risks (RRs) and 95% confidence intervals of the RRs (based on ‘nlcom’ from Stata and/or </w:t>
      </w:r>
      <w:r w:rsidR="00E20DA3" w:rsidRPr="00977B21">
        <w:rPr>
          <w:lang w:val="en-GB"/>
        </w:rPr>
        <w:t xml:space="preserve">bootstrapping </w:t>
      </w:r>
      <w:r w:rsidRPr="00977B21">
        <w:rPr>
          <w:lang w:val="en-GB"/>
        </w:rPr>
        <w:t>in R)</w:t>
      </w:r>
      <w:bookmarkEnd w:id="19"/>
      <w:bookmarkEnd w:id="20"/>
      <w:r w:rsidR="00E20DA3" w:rsidRPr="00977B21">
        <w:rPr>
          <w:lang w:val="en-GB"/>
        </w:rPr>
        <w:t>.</w:t>
      </w:r>
    </w:p>
    <w:p w14:paraId="46710BBC" w14:textId="77777777" w:rsidR="00E86030" w:rsidRPr="00977B21" w:rsidRDefault="00E86030" w:rsidP="00625302">
      <w:pPr>
        <w:rPr>
          <w:lang w:val="en-GB"/>
        </w:rPr>
      </w:pPr>
    </w:p>
    <w:p w14:paraId="30A3B7B2" w14:textId="7352D976" w:rsidR="00320070" w:rsidRPr="00977B21" w:rsidRDefault="009D6969" w:rsidP="00887514">
      <w:pPr>
        <w:rPr>
          <w:u w:val="single"/>
          <w:lang w:val="en-GB"/>
        </w:rPr>
      </w:pPr>
      <w:r w:rsidRPr="00977B21">
        <w:rPr>
          <w:u w:val="single"/>
          <w:lang w:val="en-GB"/>
        </w:rPr>
        <w:t xml:space="preserve">Sensitivity analyses for primary </w:t>
      </w:r>
      <w:r w:rsidR="000D6604" w:rsidRPr="00977B21">
        <w:rPr>
          <w:u w:val="single"/>
          <w:lang w:val="en-GB"/>
        </w:rPr>
        <w:t xml:space="preserve">feasible </w:t>
      </w:r>
      <w:r w:rsidRPr="00977B21">
        <w:rPr>
          <w:u w:val="single"/>
          <w:lang w:val="en-GB"/>
        </w:rPr>
        <w:t>outcome</w:t>
      </w:r>
    </w:p>
    <w:p w14:paraId="7BC6A90E" w14:textId="79FAA235" w:rsidR="00E86030" w:rsidRPr="00977B21" w:rsidRDefault="000D6604" w:rsidP="00887514">
      <w:pPr>
        <w:pStyle w:val="Kommentartekst"/>
        <w:rPr>
          <w:lang w:val="en-GB"/>
        </w:rPr>
      </w:pPr>
      <w:r w:rsidRPr="00977B21">
        <w:rPr>
          <w:lang w:val="en-GB"/>
        </w:rPr>
        <w:t xml:space="preserve">The primary analysis </w:t>
      </w:r>
      <w:r w:rsidR="00E27160" w:rsidRPr="00977B21">
        <w:rPr>
          <w:lang w:val="en-GB"/>
        </w:rPr>
        <w:t>wil</w:t>
      </w:r>
      <w:r w:rsidR="00E27160" w:rsidRPr="004C63E1">
        <w:rPr>
          <w:lang w:val="en-US"/>
        </w:rPr>
        <w:t xml:space="preserve">l include </w:t>
      </w:r>
      <w:r w:rsidR="004C63E1">
        <w:rPr>
          <w:lang w:val="en-US"/>
        </w:rPr>
        <w:t xml:space="preserve">fluid </w:t>
      </w:r>
      <w:r w:rsidR="00E27160" w:rsidRPr="004C63E1">
        <w:rPr>
          <w:lang w:val="en-US"/>
        </w:rPr>
        <w:t xml:space="preserve">data collected from participants </w:t>
      </w:r>
      <w:r w:rsidR="004C63E1">
        <w:rPr>
          <w:lang w:val="en-US"/>
        </w:rPr>
        <w:t xml:space="preserve">on </w:t>
      </w:r>
      <w:r w:rsidR="00E27160" w:rsidRPr="004C63E1">
        <w:rPr>
          <w:lang w:val="en-US"/>
        </w:rPr>
        <w:t>all three days.</w:t>
      </w:r>
      <w:r w:rsidR="00E27160" w:rsidRPr="00977B21">
        <w:rPr>
          <w:lang w:val="en-GB"/>
        </w:rPr>
        <w:t xml:space="preserve"> However, </w:t>
      </w:r>
      <w:r w:rsidR="002C5826">
        <w:rPr>
          <w:lang w:val="en-GB"/>
        </w:rPr>
        <w:t xml:space="preserve">some </w:t>
      </w:r>
      <w:r w:rsidR="00E27160" w:rsidRPr="00977B21">
        <w:rPr>
          <w:lang w:val="en-GB"/>
        </w:rPr>
        <w:t xml:space="preserve">participants </w:t>
      </w:r>
      <w:r w:rsidR="002C5826">
        <w:rPr>
          <w:lang w:val="en-GB"/>
        </w:rPr>
        <w:t xml:space="preserve">will </w:t>
      </w:r>
      <w:r w:rsidR="00E27160" w:rsidRPr="00977B21">
        <w:rPr>
          <w:lang w:val="en-GB"/>
        </w:rPr>
        <w:t xml:space="preserve">not </w:t>
      </w:r>
      <w:r w:rsidR="00A472D4">
        <w:rPr>
          <w:lang w:val="en-GB"/>
        </w:rPr>
        <w:t xml:space="preserve">be in </w:t>
      </w:r>
      <w:r w:rsidR="00E27160" w:rsidRPr="00977B21">
        <w:rPr>
          <w:lang w:val="en-GB"/>
        </w:rPr>
        <w:t xml:space="preserve">intensive care for </w:t>
      </w:r>
      <w:r w:rsidR="00A472D4">
        <w:rPr>
          <w:lang w:val="en-GB"/>
        </w:rPr>
        <w:t xml:space="preserve">the entirety of the first </w:t>
      </w:r>
      <w:r w:rsidR="00E27160" w:rsidRPr="00977B21">
        <w:rPr>
          <w:lang w:val="en-GB"/>
        </w:rPr>
        <w:t>three</w:t>
      </w:r>
      <w:r w:rsidR="003F4E8D">
        <w:rPr>
          <w:lang w:val="en-GB"/>
        </w:rPr>
        <w:t xml:space="preserve"> </w:t>
      </w:r>
      <w:r w:rsidR="00E27160" w:rsidRPr="00977B21">
        <w:rPr>
          <w:lang w:val="en-GB"/>
        </w:rPr>
        <w:t xml:space="preserve">days </w:t>
      </w:r>
      <w:r w:rsidR="002C5826">
        <w:rPr>
          <w:lang w:val="en-GB"/>
        </w:rPr>
        <w:t>either because they die or because the</w:t>
      </w:r>
      <w:r w:rsidR="00FF45FA">
        <w:rPr>
          <w:lang w:val="en-GB"/>
        </w:rPr>
        <w:t>y</w:t>
      </w:r>
      <w:r w:rsidR="002C5826">
        <w:rPr>
          <w:lang w:val="en-GB"/>
        </w:rPr>
        <w:t xml:space="preserve"> are discharged</w:t>
      </w:r>
      <w:r w:rsidR="00E27160" w:rsidRPr="00977B21">
        <w:rPr>
          <w:lang w:val="en-GB"/>
        </w:rPr>
        <w:t>. Therefore, we will carry out three different sensi</w:t>
      </w:r>
      <w:r w:rsidR="00E86030" w:rsidRPr="00977B21">
        <w:rPr>
          <w:lang w:val="en-GB"/>
        </w:rPr>
        <w:t>t</w:t>
      </w:r>
      <w:r w:rsidR="00E27160" w:rsidRPr="00977B21">
        <w:rPr>
          <w:lang w:val="en-GB"/>
        </w:rPr>
        <w:t>i</w:t>
      </w:r>
      <w:r w:rsidR="00E86030" w:rsidRPr="00977B21">
        <w:rPr>
          <w:lang w:val="en-GB"/>
        </w:rPr>
        <w:t>vi</w:t>
      </w:r>
      <w:r w:rsidR="00E27160" w:rsidRPr="00977B21">
        <w:rPr>
          <w:lang w:val="en-GB"/>
        </w:rPr>
        <w:t>ty analyses of the primary feasibility outcome. We will analy</w:t>
      </w:r>
      <w:r w:rsidR="001065F0">
        <w:rPr>
          <w:lang w:val="en-GB"/>
        </w:rPr>
        <w:t>s</w:t>
      </w:r>
      <w:r w:rsidR="00E27160" w:rsidRPr="00977B21">
        <w:rPr>
          <w:lang w:val="en-GB"/>
        </w:rPr>
        <w:t>e the data using (1) the average daily</w:t>
      </w:r>
      <w:r w:rsidR="00EE1435" w:rsidRPr="00977B21">
        <w:rPr>
          <w:lang w:val="en-GB"/>
        </w:rPr>
        <w:t xml:space="preserve"> or hourly</w:t>
      </w:r>
      <w:r w:rsidR="00E27160" w:rsidRPr="00977B21">
        <w:rPr>
          <w:lang w:val="en-GB"/>
        </w:rPr>
        <w:t xml:space="preserve"> lit</w:t>
      </w:r>
      <w:r w:rsidR="001065F0">
        <w:rPr>
          <w:lang w:val="en-GB"/>
        </w:rPr>
        <w:t>re</w:t>
      </w:r>
      <w:r w:rsidR="00E27160" w:rsidRPr="00977B21">
        <w:rPr>
          <w:lang w:val="en-GB"/>
        </w:rPr>
        <w:t xml:space="preserve">s of fluids administered within three days </w:t>
      </w:r>
      <w:r w:rsidR="004C63E1">
        <w:rPr>
          <w:lang w:val="en-GB"/>
        </w:rPr>
        <w:t>after inclusion</w:t>
      </w:r>
      <w:r w:rsidR="00E27160" w:rsidRPr="00977B21">
        <w:rPr>
          <w:lang w:val="en-GB"/>
        </w:rPr>
        <w:t xml:space="preserve">; (2) all available data within three days of </w:t>
      </w:r>
      <w:r w:rsidR="004C63E1">
        <w:rPr>
          <w:lang w:val="en-GB"/>
        </w:rPr>
        <w:t>inclusion</w:t>
      </w:r>
      <w:r w:rsidR="00E27160" w:rsidRPr="00977B21">
        <w:rPr>
          <w:lang w:val="en-GB"/>
        </w:rPr>
        <w:t>; and (3) using a mixed effect linear regression model with group allocation and day as a fixed effect and participant as a random effect. These three analys</w:t>
      </w:r>
      <w:r w:rsidR="00142362" w:rsidRPr="00977B21">
        <w:rPr>
          <w:lang w:val="en-GB"/>
        </w:rPr>
        <w:t>e</w:t>
      </w:r>
      <w:r w:rsidR="00E27160" w:rsidRPr="00977B21">
        <w:rPr>
          <w:lang w:val="en-GB"/>
        </w:rPr>
        <w:t>s will both inform us of the robustness of the results of the primary feasibility outcome</w:t>
      </w:r>
      <w:r w:rsidR="003F4E8D">
        <w:rPr>
          <w:lang w:val="en-GB"/>
        </w:rPr>
        <w:t>,</w:t>
      </w:r>
      <w:r w:rsidR="00E27160" w:rsidRPr="00977B21">
        <w:rPr>
          <w:lang w:val="en-GB"/>
        </w:rPr>
        <w:t xml:space="preserve"> and also explore potential pitfalls.</w:t>
      </w:r>
      <w:r w:rsidR="00EE1435" w:rsidRPr="00977B21">
        <w:rPr>
          <w:lang w:val="en-GB"/>
        </w:rPr>
        <w:t xml:space="preserve"> </w:t>
      </w:r>
    </w:p>
    <w:p w14:paraId="1F543FD6" w14:textId="77777777" w:rsidR="00E86030" w:rsidRPr="00977B21" w:rsidRDefault="00E86030" w:rsidP="00887514">
      <w:pPr>
        <w:pStyle w:val="Kommentartekst"/>
        <w:rPr>
          <w:lang w:val="en-GB"/>
        </w:rPr>
      </w:pPr>
    </w:p>
    <w:p w14:paraId="7DE888FE" w14:textId="0F5086E9" w:rsidR="00593D3D" w:rsidRPr="00977B21" w:rsidRDefault="00593D3D" w:rsidP="00887514">
      <w:pPr>
        <w:pStyle w:val="Kommentartekst"/>
        <w:rPr>
          <w:lang w:val="en-GB"/>
        </w:rPr>
      </w:pPr>
      <w:r w:rsidRPr="00977B21">
        <w:rPr>
          <w:u w:val="single"/>
          <w:lang w:val="en-GB"/>
        </w:rPr>
        <w:t>Correction for multiplicity</w:t>
      </w:r>
    </w:p>
    <w:p w14:paraId="53608BF9" w14:textId="065FB979" w:rsidR="00E05FDD" w:rsidRPr="002C5826" w:rsidRDefault="00593D3D" w:rsidP="005D4D88">
      <w:pPr>
        <w:rPr>
          <w:lang w:val="en-GB"/>
        </w:rPr>
      </w:pPr>
      <w:r w:rsidRPr="00977B21">
        <w:rPr>
          <w:lang w:val="en-GB"/>
        </w:rPr>
        <w:t>We assess only one primary outcome</w:t>
      </w:r>
      <w:r w:rsidR="003A017F" w:rsidRPr="00977B21">
        <w:rPr>
          <w:lang w:val="en-GB"/>
        </w:rPr>
        <w:t>, and secondary feasibility outcomes will be used to ascertain feasibility and used to optimise the design before a large</w:t>
      </w:r>
      <w:r w:rsidR="003F4E8D">
        <w:rPr>
          <w:lang w:val="en-GB"/>
        </w:rPr>
        <w:t>-</w:t>
      </w:r>
      <w:r w:rsidR="003A017F" w:rsidRPr="002C5826">
        <w:rPr>
          <w:lang w:val="en-GB"/>
        </w:rPr>
        <w:t>scale trial</w:t>
      </w:r>
      <w:r w:rsidR="00C20D62" w:rsidRPr="002C5826">
        <w:rPr>
          <w:lang w:val="en-GB"/>
        </w:rPr>
        <w:t xml:space="preserve"> is initiated</w:t>
      </w:r>
      <w:r w:rsidR="003A017F" w:rsidRPr="002C5826">
        <w:rPr>
          <w:lang w:val="en-GB"/>
        </w:rPr>
        <w:t xml:space="preserve">. The exploratory clinical outcomes will be considered </w:t>
      </w:r>
      <w:r w:rsidRPr="002C5826">
        <w:rPr>
          <w:lang w:val="en-GB"/>
        </w:rPr>
        <w:t xml:space="preserve">as hypothesis-generating only. </w:t>
      </w:r>
      <w:bookmarkStart w:id="21" w:name="_Hlk105964950"/>
      <w:r w:rsidRPr="002C5826">
        <w:rPr>
          <w:lang w:val="en-GB"/>
        </w:rPr>
        <w:t>Therefore, we have used a two-sided alpha of 5% as the acceptable risk of type I error in the sample size and power estimations.</w:t>
      </w:r>
      <w:bookmarkEnd w:id="21"/>
    </w:p>
    <w:p w14:paraId="7EF0F297" w14:textId="77777777" w:rsidR="00E86030" w:rsidRPr="002C5826" w:rsidRDefault="00E86030" w:rsidP="00887514">
      <w:pPr>
        <w:rPr>
          <w:lang w:val="en-GB"/>
        </w:rPr>
      </w:pPr>
    </w:p>
    <w:p w14:paraId="6C4E17D6" w14:textId="77777777" w:rsidR="00225332" w:rsidRPr="00DF3EFF" w:rsidRDefault="00225332" w:rsidP="00225332">
      <w:pPr>
        <w:pStyle w:val="Overskrift2"/>
      </w:pPr>
      <w:r w:rsidRPr="00DF3EFF">
        <w:t>Assessments of underlying statistical assumptions</w:t>
      </w:r>
    </w:p>
    <w:p w14:paraId="0AF55499" w14:textId="43B7AEE3" w:rsidR="00225332" w:rsidRPr="002C5826" w:rsidRDefault="00225332" w:rsidP="00225332">
      <w:pPr>
        <w:rPr>
          <w:lang w:val="en-GB"/>
        </w:rPr>
      </w:pPr>
      <w:r w:rsidRPr="002C5826">
        <w:rPr>
          <w:lang w:val="en-GB"/>
        </w:rPr>
        <w:t>We will systematically assess the statistical assumptions underlying each stati</w:t>
      </w:r>
      <w:r w:rsidR="00151635" w:rsidRPr="002C5826">
        <w:rPr>
          <w:lang w:val="en-GB"/>
        </w:rPr>
        <w:t>sti</w:t>
      </w:r>
      <w:r w:rsidRPr="002C5826">
        <w:rPr>
          <w:lang w:val="en-GB"/>
        </w:rPr>
        <w:t xml:space="preserve">cal method per the recommendations by Nørskov and colleagues </w:t>
      </w:r>
      <w:r w:rsidRPr="002C5826">
        <w:rPr>
          <w:lang w:val="en-GB"/>
        </w:rPr>
        <w:fldChar w:fldCharType="begin" w:fldLock="1"/>
      </w:r>
      <w:r w:rsidRPr="002C5826">
        <w:rPr>
          <w:lang w:val="en-GB"/>
        </w:rPr>
        <w:instrText>ADDIN CSL_CITATION {"citationItems":[{"id":"ITEM-1","itemData":{"ISSN":"2515-4478","PMID":"30948454","abstract":"In order to ensure the validity of results of randomised clinical trials and under some circumstances to optimise statistical power, most statistical methods require validation of underlying statistical assumptions. The present paper describes how trialists in major medical journals report tests of underlying statistical assumptions when analysing results of randomised clinical trials. We also consider possible solutions how to improve current practice by adequate reporting of tests of underlying statistical assumptions. We conclude that there is a need to reach consensus on which underlying assumptions should be assessed, how these underlying assumptions should be assessed and what should be done if the underlying assumptions are violated.","author":[{"dropping-particle":"","family":"Nielsen","given":"Emil Eik","non-dropping-particle":"","parse-names":false,"suffix":""},{"dropping-particle":"","family":"Nørskov","given":"Anders Kehlet","non-dropping-particle":"","parse-names":false,"suffix":""},{"dropping-particle":"","family":"Lange","given":"Theis","non-dropping-particle":"","parse-names":false,"suffix":""},{"dropping-particle":"","family":"Thabane","given":"Lehana","non-dropping-particle":"","parse-names":false,"suffix":""},{"dropping-particle":"","family":"Wetterslev","given":"Jørn","non-dropping-particle":"","parse-names":false,"suffix":""},{"dropping-particle":"","family":"Beyersmann","given":"Jan","non-dropping-particle":"","parse-names":false,"suffix":""},{"dropping-particle":"","family":"Uña-Álvarez","given":"Jacobo","non-dropping-particle":"de","parse-names":false,"suffix":""},{"dropping-particle":"","family":"Torri","given":"Valter","non-dropping-particle":"","parse-names":false,"suffix":""},{"dropping-particle":"","family":"Billot","given":"Laurent","non-dropping-particle":"","parse-names":false,"suffix":""},{"dropping-particle":"","family":"Putter","given":"Hein","non-dropping-particle":"","parse-names":false,"suffix":""},{"dropping-particle":"","family":"Winkel","given":"Per","non-dropping-particle":"","parse-names":false,"suffix":""},{"dropping-particle":"","family":"Gluud","given":"Christian","non-dropping-particle":"","parse-names":false,"suffix":""},{"dropping-particle":"","family":"Jakobsen","given":"Janus Christian","non-dropping-particle":"","parse-names":false,"suffix":""}],"container-title":"BMJ evidence-based medicine","id":"ITEM-1","issue":"5","issued":{"date-parts":[["2019","10"]]},"page":"185-189","title":"Assessing assumptions for statistical analyses in randomised clinical trials.","type":"article-journal","volume":"24"},"uris":["http://www.mendeley.com/documents/?uuid=e43a0786-2e90-4107-991b-8e07943f80a3"]},{"id":"ITEM-2","itemData":{"DOI":"10.1136/bmjebm-2019-111268","ISSN":"2515-4478","PMID":"31988195","abstract":"When analysing and presenting results of randomised clinical trials, trialists rarely report if or how underlying statistical assumptions were validated. To avoid data-driven biased trial results, it should be common practice to prospectively describe the assessments of underlying assumptions. In existing literature, there is no consensus on how trialists should assess and report underlying assumptions for the analyses of randomised clinical trials. With this study, we developed suggestions on how to test and validate underlying assumptions behind logistic regression, linear regression, and Cox regression when analysing results of randomised clinical trials.Two investigators compiled an initial draftbased on a review of the literature. Experienced statisticians and trialists from eight different research centres and trial units then participated in a anonymised consensus process, where we reached agreement on the suggestions presented in this paper.This paper provides detailed suggestions on 1) which underlying statistical assumptions behind logistic regression, multiple linear regression and Cox regression each should be assessed; 2) how these underlying assumptions may be assessed; and 3) what to do if these assumptions are violated.We believe that the validity of randomised clinical trial results will increase if our recommendations for assessing and dealing with violations of the underlying statistical assumptions are followed.","author":[{"dropping-particle":"","family":"Nørskov","given":"Anders Kehlet","non-dropping-particle":"","parse-names":false,"suffix":""},{"dropping-particle":"","family":"Lange","given":"Theis","non-dropping-particle":"","parse-names":false,"suffix":""},{"dropping-particle":"","family":"Nielsen","given":"Emil Eik","non-dropping-particle":"","parse-names":false,"suffix":""},{"dropping-particle":"","family":"Gluud","given":"Christian","non-dropping-particle":"","parse-names":false,"suffix":""},{"dropping-particle":"","family":"Winkel","given":"Per","non-dropping-particle":"","parse-names":false,"suffix":""},{"dropping-particle":"","family":"Beyersmann","given":"Jan","non-dropping-particle":"","parse-names":false,"suffix":""},{"dropping-particle":"","family":"Uña-Álvarez","given":"Jacobo","non-dropping-particle":"de","parse-names":false,"suffix":""},{"dropping-particle":"","family":"Torri","given":"Valter","non-dropping-particle":"","parse-names":false,"suffix":""},{"dropping-particle":"","family":"Billot","given":"Laurent","non-dropping-particle":"","parse-names":false,"suffix":""},{"dropping-particle":"","family":"Putter","given":"Hein","non-dropping-particle":"","parse-names":false,"suffix":""},{"dropping-particle":"","family":"Wetterslev","given":"Jørn","non-dropping-particle":"","parse-names":false,"suffix":""},{"dropping-particle":"","family":"Thabane","given":"Lehana","non-dropping-particle":"","parse-names":false,"suffix":""},{"dropping-particle":"","family":"Jakobsen","given":"Janus Christian","non-dropping-particle":"","parse-names":false,"suffix":""}],"container-title":"BMJ evidence-based medicine","id":"ITEM-2","issue":"3","issued":{"date-parts":[["2021","6","27"]]},"page":"121-126","title":"Assessment of assumptions of statistical analysis methods in randomised clinical trials: the what and how.","type":"article-journal","volume":"26"},"uris":["http://www.mendeley.com/documents/?uuid=5394034b-35b5-4246-9d62-d8138b15dd48"]}],"mendeley":{"formattedCitation":"[30,31]","plainTextFormattedCitation":"[30,31]","previouslyFormattedCitation":"[30,31]"},"properties":{"noteIndex":0},"schema":"https://github.com/citation-style-language/schema/raw/master/csl-citation.json"}</w:instrText>
      </w:r>
      <w:r w:rsidRPr="002C5826">
        <w:rPr>
          <w:lang w:val="en-GB"/>
        </w:rPr>
        <w:fldChar w:fldCharType="separate"/>
      </w:r>
      <w:r w:rsidRPr="002C5826">
        <w:rPr>
          <w:noProof/>
          <w:lang w:val="en-GB"/>
        </w:rPr>
        <w:t>[</w:t>
      </w:r>
      <w:r w:rsidR="001A0F01" w:rsidRPr="002C5826">
        <w:rPr>
          <w:lang w:val="en-GB"/>
        </w:rPr>
        <w:t>Nørskov</w:t>
      </w:r>
      <w:r w:rsidR="0086316A">
        <w:rPr>
          <w:noProof/>
          <w:lang w:val="en-GB"/>
        </w:rPr>
        <w:t xml:space="preserve"> </w:t>
      </w:r>
      <w:r w:rsidR="001A0F01" w:rsidRPr="002C5826">
        <w:rPr>
          <w:noProof/>
          <w:lang w:val="en-GB"/>
        </w:rPr>
        <w:t>2021</w:t>
      </w:r>
      <w:r w:rsidRPr="002C5826">
        <w:rPr>
          <w:noProof/>
          <w:lang w:val="en-GB"/>
        </w:rPr>
        <w:t>]</w:t>
      </w:r>
      <w:r w:rsidRPr="002C5826">
        <w:rPr>
          <w:lang w:val="en-GB"/>
        </w:rPr>
        <w:fldChar w:fldCharType="end"/>
      </w:r>
      <w:r w:rsidRPr="002C5826">
        <w:rPr>
          <w:lang w:val="en-GB"/>
        </w:rPr>
        <w:t xml:space="preserve">. In short, </w:t>
      </w:r>
      <w:r w:rsidRPr="002C5826">
        <w:rPr>
          <w:color w:val="333333"/>
          <w:shd w:val="clear" w:color="auto" w:fill="FFFFFF"/>
          <w:lang w:val="en-GB"/>
        </w:rPr>
        <w:t>for all regression analyses, we will test for major interactions between each covariate and the intervention variable. When assessing for major interactions, we will, in turn, include each possible first</w:t>
      </w:r>
      <w:r w:rsidR="003F4E8D">
        <w:rPr>
          <w:color w:val="333333"/>
          <w:shd w:val="clear" w:color="auto" w:fill="FFFFFF"/>
          <w:lang w:val="en-GB"/>
        </w:rPr>
        <w:t>-</w:t>
      </w:r>
      <w:r w:rsidRPr="002C5826">
        <w:rPr>
          <w:color w:val="333333"/>
          <w:shd w:val="clear" w:color="auto" w:fill="FFFFFF"/>
          <w:lang w:val="en-GB"/>
        </w:rPr>
        <w:t>order interaction between included covariates and the intervention variable. For each combination, a significant interaction is only evident if the interaction is statistically significant after Bonferroni</w:t>
      </w:r>
      <w:r w:rsidR="003F4E8D">
        <w:rPr>
          <w:color w:val="333333"/>
          <w:shd w:val="clear" w:color="auto" w:fill="FFFFFF"/>
          <w:lang w:val="en-GB"/>
        </w:rPr>
        <w:t>-</w:t>
      </w:r>
      <w:r w:rsidRPr="002C5826">
        <w:rPr>
          <w:color w:val="333333"/>
          <w:shd w:val="clear" w:color="auto" w:fill="FFFFFF"/>
          <w:lang w:val="en-GB"/>
        </w:rPr>
        <w:t xml:space="preserve">adjusted thresholds (0.05 divided by </w:t>
      </w:r>
      <w:r w:rsidR="003F4E8D">
        <w:rPr>
          <w:color w:val="333333"/>
          <w:shd w:val="clear" w:color="auto" w:fill="FFFFFF"/>
          <w:lang w:val="en-GB"/>
        </w:rPr>
        <w:t xml:space="preserve">the </w:t>
      </w:r>
      <w:r w:rsidRPr="002C5826">
        <w:rPr>
          <w:color w:val="333333"/>
          <w:shd w:val="clear" w:color="auto" w:fill="FFFFFF"/>
          <w:lang w:val="en-GB"/>
        </w:rPr>
        <w:t xml:space="preserve">number of possible interactions) and if the interaction shows a clinically important effect. If an interaction is evident, we will consider presenting an analysis separately for each and an overall analysis including the interaction term in the model </w:t>
      </w:r>
      <w:r w:rsidRPr="002C5826">
        <w:rPr>
          <w:lang w:val="en-GB"/>
        </w:rPr>
        <w:fldChar w:fldCharType="begin" w:fldLock="1"/>
      </w:r>
      <w:r w:rsidRPr="002C5826">
        <w:rPr>
          <w:lang w:val="en-GB"/>
        </w:rPr>
        <w:instrText>ADDIN CSL_CITATION {"citationItems":[{"id":"ITEM-1","itemData":{"ISSN":"2515-4478","PMID":"30948454","abstract":"In order to ensure the validity of results of randomised clinical trials and under some circumstances to optimise statistical power, most statistical methods require validation of underlying statistical assumptions. The present paper describes how trialists in major medical journals report tests of underlying statistical assumptions when analysing results of randomised clinical trials. We also consider possible solutions how to improve current practice by adequate reporting of tests of underlying statistical assumptions. We conclude that there is a need to reach consensus on which underlying assumptions should be assessed, how these underlying assumptions should be assessed and what should be done if the underlying assumptions are violated.","author":[{"dropping-particle":"","family":"Nielsen","given":"Emil Eik","non-dropping-particle":"","parse-names":false,"suffix":""},{"dropping-particle":"","family":"Nørskov","given":"Anders Kehlet","non-dropping-particle":"","parse-names":false,"suffix":""},{"dropping-particle":"","family":"Lange","given":"Theis","non-dropping-particle":"","parse-names":false,"suffix":""},{"dropping-particle":"","family":"Thabane","given":"Lehana","non-dropping-particle":"","parse-names":false,"suffix":""},{"dropping-particle":"","family":"Wetterslev","given":"Jørn","non-dropping-particle":"","parse-names":false,"suffix":""},{"dropping-particle":"","family":"Beyersmann","given":"Jan","non-dropping-particle":"","parse-names":false,"suffix":""},{"dropping-particle":"","family":"Uña-Álvarez","given":"Jacobo","non-dropping-particle":"de","parse-names":false,"suffix":""},{"dropping-particle":"","family":"Torri","given":"Valter","non-dropping-particle":"","parse-names":false,"suffix":""},{"dropping-particle":"","family":"Billot","given":"Laurent","non-dropping-particle":"","parse-names":false,"suffix":""},{"dropping-particle":"","family":"Putter","given":"Hein","non-dropping-particle":"","parse-names":false,"suffix":""},{"dropping-particle":"","family":"Winkel","given":"Per","non-dropping-particle":"","parse-names":false,"suffix":""},{"dropping-particle":"","family":"Gluud","given":"Christian","non-dropping-particle":"","parse-names":false,"suffix":""},{"dropping-particle":"","family":"Jakobsen","given":"Janus Christian","non-dropping-particle":"","parse-names":false,"suffix":""}],"container-title":"BMJ evidence-based medicine","id":"ITEM-1","issue":"5","issued":{"date-parts":[["2019","10"]]},"page":"185-189","title":"Assessing assumptions for statistical analyses in randomised clinical trials.","type":"article-journal","volume":"24"},"uris":["http://www.mendeley.com/documents/?uuid=e43a0786-2e90-4107-991b-8e07943f80a3"]},{"id":"ITEM-2","itemData":{"DOI":"10.1136/bmjebm-2019-111268","ISSN":"2515-4478","PMID":"31988195","abstract":"When analysing and presenting results of randomised clinical trials, trialists rarely report if or how underlying statistical assumptions were validated. To avoid data-driven biased trial results, it should be common practice to prospectively describe the assessments of underlying assumptions. In existing literature, there is no consensus on how trialists should assess and report underlying assumptions for the analyses of randomised clinical trials. With this study, we developed suggestions on how to test and validate underlying assumptions behind logistic regression, linear regression, and Cox regression when analysing results of randomised clinical trials.Two investigators compiled an initial draftbased on a review of the literature. Experienced statisticians and trialists from eight different research centres and trial units then participated in a anonymised consensus process, where we reached agreement on the suggestions presented in this paper.This paper provides detailed suggestions on 1) which underlying statistical assumptions behind logistic regression, multiple linear regression and Cox regression each should be assessed; 2) how these underlying assumptions may be assessed; and 3) what to do if these assumptions are violated.We believe that the validity of randomised clinical trial results will increase if our recommendations for assessing and dealing with violations of the underlying statistical assumptions are followed.","author":[{"dropping-particle":"","family":"Nørskov","given":"Anders Kehlet","non-dropping-particle":"","parse-names":false,"suffix":""},{"dropping-particle":"","family":"Lange","given":"Theis","non-dropping-particle":"","parse-names":false,"suffix":""},{"dropping-particle":"","family":"Nielsen","given":"Emil Eik","non-dropping-particle":"","parse-names":false,"suffix":""},{"dropping-particle":"","family":"Gluud","given":"Christian","non-dropping-particle":"","parse-names":false,"suffix":""},{"dropping-particle":"","family":"Winkel","given":"Per","non-dropping-particle":"","parse-names":false,"suffix":""},{"dropping-particle":"","family":"Beyersmann","given":"Jan","non-dropping-particle":"","parse-names":false,"suffix":""},{"dropping-particle":"","family":"Uña-Álvarez","given":"Jacobo","non-dropping-particle":"de","parse-names":false,"suffix":""},{"dropping-particle":"","family":"Torri","given":"Valter","non-dropping-particle":"","parse-names":false,"suffix":""},{"dropping-particle":"","family":"Billot","given":"Laurent","non-dropping-particle":"","parse-names":false,"suffix":""},{"dropping-particle":"","family":"Putter","given":"Hein","non-dropping-particle":"","parse-names":false,"suffix":""},{"dropping-particle":"","family":"Wetterslev","given":"Jørn","non-dropping-particle":"","parse-names":false,"suffix":""},{"dropping-particle":"","family":"Thabane","given":"Lehana","non-dropping-particle":"","parse-names":false,"suffix":""},{"dropping-particle":"","family":"Jakobsen","given":"Janus Christian","non-dropping-particle":"","parse-names":false,"suffix":""}],"container-title":"BMJ evidence-based medicine","id":"ITEM-2","issue":"3","issued":{"date-parts":[["2021","6","27"]]},"page":"121-126","title":"Assessment of assumptions of statistical analysis methods in randomised clinical trials: the what and how.","type":"article-journal","volume":"26"},"uris":["http://www.mendeley.com/documents/?uuid=5394034b-35b5-4246-9d62-d8138b15dd48"]}],"mendeley":{"formattedCitation":"[30,31]","plainTextFormattedCitation":"[30,31]","previouslyFormattedCitation":"[30,31]"},"properties":{"noteIndex":0},"schema":"https://github.com/citation-style-language/schema/raw/master/csl-citation.json"}</w:instrText>
      </w:r>
      <w:r w:rsidRPr="002C5826">
        <w:rPr>
          <w:lang w:val="en-GB"/>
        </w:rPr>
        <w:fldChar w:fldCharType="separate"/>
      </w:r>
      <w:r w:rsidRPr="002C5826">
        <w:rPr>
          <w:noProof/>
          <w:lang w:val="en-GB"/>
        </w:rPr>
        <w:t>[</w:t>
      </w:r>
      <w:r w:rsidR="001A0F01" w:rsidRPr="002C5826">
        <w:rPr>
          <w:lang w:val="en-GB"/>
        </w:rPr>
        <w:t>Nørskov</w:t>
      </w:r>
      <w:r w:rsidR="001A0F01" w:rsidRPr="002C5826" w:rsidDel="001A0844">
        <w:rPr>
          <w:noProof/>
          <w:lang w:val="en-GB"/>
        </w:rPr>
        <w:t xml:space="preserve"> </w:t>
      </w:r>
      <w:r w:rsidR="001A0F01" w:rsidRPr="002C5826">
        <w:rPr>
          <w:noProof/>
          <w:lang w:val="en-GB"/>
        </w:rPr>
        <w:t>2021</w:t>
      </w:r>
      <w:r w:rsidRPr="002C5826">
        <w:rPr>
          <w:noProof/>
          <w:lang w:val="en-GB"/>
        </w:rPr>
        <w:t>]</w:t>
      </w:r>
      <w:r w:rsidRPr="002C5826">
        <w:rPr>
          <w:lang w:val="en-GB"/>
        </w:rPr>
        <w:fldChar w:fldCharType="end"/>
      </w:r>
      <w:r w:rsidRPr="002C5826">
        <w:rPr>
          <w:color w:val="333333"/>
          <w:shd w:val="clear" w:color="auto" w:fill="FFFFFF"/>
          <w:lang w:val="en-GB"/>
        </w:rPr>
        <w:t>.</w:t>
      </w:r>
    </w:p>
    <w:p w14:paraId="00BB1BC5" w14:textId="77777777" w:rsidR="00225332" w:rsidRPr="002C5826" w:rsidRDefault="00225332" w:rsidP="00225332">
      <w:pPr>
        <w:rPr>
          <w:lang w:val="en-GB"/>
        </w:rPr>
      </w:pPr>
    </w:p>
    <w:p w14:paraId="25251229" w14:textId="3AEDE337" w:rsidR="00225332" w:rsidRPr="002C5826" w:rsidRDefault="00225332" w:rsidP="00225332">
      <w:pPr>
        <w:rPr>
          <w:lang w:val="en-GB"/>
        </w:rPr>
      </w:pPr>
      <w:r w:rsidRPr="002C5826">
        <w:rPr>
          <w:lang w:val="en-GB"/>
        </w:rPr>
        <w:t xml:space="preserve">The </w:t>
      </w:r>
      <w:r w:rsidR="003F4E8D">
        <w:rPr>
          <w:lang w:val="en-GB"/>
        </w:rPr>
        <w:t xml:space="preserve">distribution of the </w:t>
      </w:r>
      <w:r w:rsidRPr="002C5826">
        <w:rPr>
          <w:lang w:val="en-GB"/>
        </w:rPr>
        <w:t xml:space="preserve">variables included in the linear regression models will be visually assessed using histograms and quantile-quantile plots of the residuals, and homogeneity </w:t>
      </w:r>
      <w:r w:rsidR="003F4E8D">
        <w:rPr>
          <w:lang w:val="en-GB"/>
        </w:rPr>
        <w:t xml:space="preserve">will be assessed </w:t>
      </w:r>
      <w:r w:rsidRPr="002C5826">
        <w:rPr>
          <w:lang w:val="en-GB"/>
        </w:rPr>
        <w:t xml:space="preserve">using residuals plotted against covariates and fitted values, with the possibility of a logarithmic transformation or applying robust standard errors to minimise deviations from the model </w:t>
      </w:r>
      <w:r w:rsidR="00890DEA" w:rsidRPr="002C5826">
        <w:rPr>
          <w:lang w:val="en-GB"/>
        </w:rPr>
        <w:fldChar w:fldCharType="begin" w:fldLock="1"/>
      </w:r>
      <w:r w:rsidR="00890DEA" w:rsidRPr="002C5826">
        <w:rPr>
          <w:lang w:val="en-GB"/>
        </w:rPr>
        <w:instrText>ADDIN CSL_CITATION {"citationItems":[{"id":"ITEM-1","itemData":{"ISSN":"2515-4478","PMID":"30948454","abstract":"In order to ensure the validity of results of randomised clinical trials and under some circumstances to optimise statistical power, most statistical methods require validation of underlying statistical assumptions. The present paper describes how trialists in major medical journals report tests of underlying statistical assumptions when analysing results of randomised clinical trials. We also consider possible solutions how to improve current practice by adequate reporting of tests of underlying statistical assumptions. We conclude that there is a need to reach consensus on which underlying assumptions should be assessed, how these underlying assumptions should be assessed and what should be done if the underlying assumptions are violated.","author":[{"dropping-particle":"","family":"Nielsen","given":"Emil Eik","non-dropping-particle":"","parse-names":false,"suffix":""},{"dropping-particle":"","family":"Nørskov","given":"Anders Kehlet","non-dropping-particle":"","parse-names":false,"suffix":""},{"dropping-particle":"","family":"Lange","given":"Theis","non-dropping-particle":"","parse-names":false,"suffix":""},{"dropping-particle":"","family":"Thabane","given":"Lehana","non-dropping-particle":"","parse-names":false,"suffix":""},{"dropping-particle":"","family":"Wetterslev","given":"Jørn","non-dropping-particle":"","parse-names":false,"suffix":""},{"dropping-particle":"","family":"Beyersmann","given":"Jan","non-dropping-particle":"","parse-names":false,"suffix":""},{"dropping-particle":"","family":"Uña-Álvarez","given":"Jacobo","non-dropping-particle":"de","parse-names":false,"suffix":""},{"dropping-particle":"","family":"Torri","given":"Valter","non-dropping-particle":"","parse-names":false,"suffix":""},{"dropping-particle":"","family":"Billot","given":"Laurent","non-dropping-particle":"","parse-names":false,"suffix":""},{"dropping-particle":"","family":"Putter","given":"Hein","non-dropping-particle":"","parse-names":false,"suffix":""},{"dropping-particle":"","family":"Winkel","given":"Per","non-dropping-particle":"","parse-names":false,"suffix":""},{"dropping-particle":"","family":"Gluud","given":"Christian","non-dropping-particle":"","parse-names":false,"suffix":""},{"dropping-particle":"","family":"Jakobsen","given":"Janus Christian","non-dropping-particle":"","parse-names":false,"suffix":""}],"container-title":"BMJ evidence-based medicine","id":"ITEM-1","issue":"5","issued":{"date-parts":[["2019","10"]]},"page":"185-189","title":"Assessing assumptions for statistical analyses in randomised clinical trials.","type":"article-journal","volume":"24"},"uris":["http://www.mendeley.com/documents/?uuid=e43a0786-2e90-4107-991b-8e07943f80a3"]},{"id":"ITEM-2","itemData":{"DOI":"10.1136/bmjebm-2019-111268","ISSN":"2515-4478","PMID":"31988195","abstract":"When analysing and presenting results of randomised clinical trials, trialists rarely report if or how underlying statistical assumptions were validated. To avoid data-driven biased trial results, it should be common practice to prospectively describe the assessments of underlying assumptions. In existing literature, there is no consensus on how trialists should assess and report underlying assumptions for the analyses of randomised clinical trials. With this study, we developed suggestions on how to test and validate underlying assumptions behind logistic regression, linear regression, and Cox regression when analysing results of randomised clinical trials.Two investigators compiled an initial draftbased on a review of the literature. Experienced statisticians and trialists from eight different research centres and trial units then participated in a anonymised consensus process, where we reached agreement on the suggestions presented in this paper.This paper provides detailed suggestions on 1) which underlying statistical assumptions behind logistic regression, multiple linear regression and Cox regression each should be assessed; 2) how these underlying assumptions may be assessed; and 3) what to do if these assumptions are violated.We believe that the validity of randomised clinical trial results will increase if our recommendations for assessing and dealing with violations of the underlying statistical assumptions are followed.","author":[{"dropping-particle":"","family":"Nørskov","given":"Anders Kehlet","non-dropping-particle":"","parse-names":false,"suffix":""},{"dropping-particle":"","family":"Lange","given":"Theis","non-dropping-particle":"","parse-names":false,"suffix":""},{"dropping-particle":"","family":"Nielsen","given":"Emil Eik","non-dropping-particle":"","parse-names":false,"suffix":""},{"dropping-particle":"","family":"Gluud","given":"Christian","non-dropping-particle":"","parse-names":false,"suffix":""},{"dropping-particle":"","family":"Winkel","given":"Per","non-dropping-particle":"","parse-names":false,"suffix":""},{"dropping-particle":"","family":"Beyersmann","given":"Jan","non-dropping-particle":"","parse-names":false,"suffix":""},{"dropping-particle":"","family":"Uña-Álvarez","given":"Jacobo","non-dropping-particle":"de","parse-names":false,"suffix":""},{"dropping-particle":"","family":"Torri","given":"Valter","non-dropping-particle":"","parse-names":false,"suffix":""},{"dropping-particle":"","family":"Billot","given":"Laurent","non-dropping-particle":"","parse-names":false,"suffix":""},{"dropping-particle":"","family":"Putter","given":"Hein","non-dropping-particle":"","parse-names":false,"suffix":""},{"dropping-particle":"","family":"Wetterslev","given":"Jørn","non-dropping-particle":"","parse-names":false,"suffix":""},{"dropping-particle":"","family":"Thabane","given":"Lehana","non-dropping-particle":"","parse-names":false,"suffix":""},{"dropping-particle":"","family":"Jakobsen","given":"Janus Christian","non-dropping-particle":"","parse-names":false,"suffix":""}],"container-title":"BMJ evidence-based medicine","id":"ITEM-2","issue":"3","issued":{"date-parts":[["2021","6","27"]]},"page":"121-126","title":"Assessment of assumptions of statistical analysis methods in randomised clinical trials: the what and how.","type":"article-journal","volume":"26"},"uris":["http://www.mendeley.com/documents/?uuid=5394034b-35b5-4246-9d62-d8138b15dd48"]}],"mendeley":{"formattedCitation":"[30,31]","plainTextFormattedCitation":"[30,31]","previouslyFormattedCitation":"[30,31]"},"properties":{"noteIndex":0},"schema":"https://github.com/citation-style-language/schema/raw/master/csl-citation.json"}</w:instrText>
      </w:r>
      <w:r w:rsidR="00890DEA" w:rsidRPr="002C5826">
        <w:rPr>
          <w:lang w:val="en-GB"/>
        </w:rPr>
        <w:fldChar w:fldCharType="separate"/>
      </w:r>
      <w:r w:rsidR="00890DEA" w:rsidRPr="002C5826">
        <w:rPr>
          <w:noProof/>
          <w:lang w:val="en-GB"/>
        </w:rPr>
        <w:t>[</w:t>
      </w:r>
      <w:r w:rsidR="00890DEA" w:rsidRPr="002C5826">
        <w:rPr>
          <w:lang w:val="en-GB"/>
        </w:rPr>
        <w:t>Nørskov</w:t>
      </w:r>
      <w:r w:rsidR="00890DEA" w:rsidRPr="002C5826" w:rsidDel="001A0844">
        <w:rPr>
          <w:noProof/>
          <w:lang w:val="en-GB"/>
        </w:rPr>
        <w:t xml:space="preserve"> </w:t>
      </w:r>
      <w:r w:rsidR="00890DEA" w:rsidRPr="002C5826">
        <w:rPr>
          <w:noProof/>
          <w:lang w:val="en-GB"/>
        </w:rPr>
        <w:t>2021]</w:t>
      </w:r>
      <w:r w:rsidR="00890DEA" w:rsidRPr="002C5826">
        <w:rPr>
          <w:lang w:val="en-GB"/>
        </w:rPr>
        <w:fldChar w:fldCharType="end"/>
      </w:r>
      <w:r w:rsidR="00890DEA">
        <w:rPr>
          <w:lang w:val="en-GB"/>
        </w:rPr>
        <w:t>.</w:t>
      </w:r>
    </w:p>
    <w:p w14:paraId="1A366E36" w14:textId="77777777" w:rsidR="00225332" w:rsidRPr="00256A58" w:rsidRDefault="00225332" w:rsidP="00225332">
      <w:pPr>
        <w:rPr>
          <w:lang w:val="en-GB"/>
        </w:rPr>
      </w:pPr>
    </w:p>
    <w:p w14:paraId="352EDF41" w14:textId="77777777" w:rsidR="00225332" w:rsidRPr="00256A58" w:rsidRDefault="00225332" w:rsidP="00225332">
      <w:pPr>
        <w:rPr>
          <w:lang w:val="en-GB"/>
        </w:rPr>
      </w:pPr>
      <w:r w:rsidRPr="00256A58">
        <w:rPr>
          <w:lang w:val="en-GB"/>
        </w:rPr>
        <w:t>To assess relevant overdispersion, we divide the deviance by the degrees of freedom for the logistic regression model. For dichotomous outcomes with few or zero events identified (substantially lower than the rule of thumb of 10 events), the analyses will be carried out using Fisher’s exact test</w:t>
      </w:r>
      <w:r w:rsidRPr="00256A58">
        <w:rPr>
          <w:b/>
          <w:bCs/>
          <w:lang w:val="en-GB"/>
        </w:rPr>
        <w:t>.</w:t>
      </w:r>
      <w:r w:rsidRPr="00256A58">
        <w:rPr>
          <w:lang w:val="en-GB"/>
        </w:rPr>
        <w:t xml:space="preserve"> The robustness of the confidence intervals and </w:t>
      </w:r>
      <w:r w:rsidRPr="00256A58">
        <w:rPr>
          <w:i/>
          <w:iCs/>
          <w:lang w:val="en-GB"/>
        </w:rPr>
        <w:t>p</w:t>
      </w:r>
      <w:r w:rsidRPr="00256A58">
        <w:rPr>
          <w:lang w:val="en-GB"/>
        </w:rPr>
        <w:t xml:space="preserve">-values might be affected by the small sample size and these will be interpreted with caution </w:t>
      </w:r>
      <w:r w:rsidRPr="00256A58">
        <w:rPr>
          <w:lang w:val="en-GB"/>
        </w:rPr>
        <w:fldChar w:fldCharType="begin" w:fldLock="1"/>
      </w:r>
      <w:r w:rsidRPr="00256A58">
        <w:rPr>
          <w:lang w:val="en-GB"/>
        </w:rPr>
        <w:instrText>ADDIN CSL_CITATION {"citationItems":[{"id":"ITEM-1","itemData":{"DOI":"10.1136/bmjebm-2019-111268","ISSN":"2515-4478","PMID":"31988195","abstract":"When analysing and presenting results of randomised clinical trials, trialists rarely report if or how underlying statistical assumptions were validated. To avoid data-driven biased trial results, it should be common practice to prospectively describe the assessments of underlying assumptions. In existing literature, there is no consensus on how trialists should assess and report underlying assumptions for the analyses of randomised clinical trials. With this study, we developed suggestions on how to test and validate underlying assumptions behind logistic regression, linear regression, and Cox regression when analysing results of randomised clinical trials.Two investigators compiled an initial draftbased on a review of the literature. Experienced statisticians and trialists from eight different research centres and trial units then participated in a anonymised consensus process, where we reached agreement on the suggestions presented in this paper.This paper provides detailed suggestions on 1) which underlying statistical assumptions behind logistic regression, multiple linear regression and Cox regression each should be assessed; 2) how these underlying assumptions may be assessed; and 3) what to do if these assumptions are violated.We believe that the validity of randomised clinical trial results will increase if our recommendations for assessing and dealing with violations of the underlying statistical assumptions are followed.","author":[{"dropping-particle":"","family":"Nørskov","given":"Anders Kehlet","non-dropping-particle":"","parse-names":false,"suffix":""},{"dropping-particle":"","family":"Lange","given":"Theis","non-dropping-particle":"","parse-names":false,"suffix":""},{"dropping-particle":"","family":"Nielsen","given":"Emil Eik","non-dropping-particle":"","parse-names":false,"suffix":""},{"dropping-particle":"","family":"Gluud","given":"Christian","non-dropping-particle":"","parse-names":false,"suffix":""},{"dropping-particle":"","family":"Winkel","given":"Per","non-dropping-particle":"","parse-names":false,"suffix":""},{"dropping-particle":"","family":"Beyersmann","given":"Jan","non-dropping-particle":"","parse-names":false,"suffix":""},{"dropping-particle":"","family":"Uña-Álvarez","given":"Jacobo","non-dropping-particle":"de","parse-names":false,"suffix":""},{"dropping-particle":"","family":"Torri","given":"Valter","non-dropping-particle":"","parse-names":false,"suffix":""},{"dropping-particle":"","family":"Billot","given":"Laurent","non-dropping-particle":"","parse-names":false,"suffix":""},{"dropping-particle":"","family":"Putter","given":"Hein","non-dropping-particle":"","parse-names":false,"suffix":""},{"dropping-particle":"","family":"Wetterslev","given":"Jørn","non-dropping-particle":"","parse-names":false,"suffix":""},{"dropping-particle":"","family":"Thabane","given":"Lehana","non-dropping-particle":"","parse-names":false,"suffix":""},{"dropping-particle":"","family":"Jakobsen","given":"Janus Christian","non-dropping-particle":"","parse-names":false,"suffix":""}],"container-title":"BMJ evidence-based medicine","id":"ITEM-1","issue":"3","issued":{"date-parts":[["2021","6","27"]]},"page":"121-126","title":"Assessment of assumptions of statistical analysis methods in randomised clinical trials: the what and how.","type":"article-journal","volume":"26"},"uris":["http://www.mendeley.com/documents/?uuid=5394034b-35b5-4246-9d62-d8138b15dd48"]}],"mendeley":{"formattedCitation":"[31]","plainTextFormattedCitation":"[31]","previouslyFormattedCitation":"[31]"},"properties":{"noteIndex":0},"schema":"https://github.com/citation-style-language/schema/raw/master/csl-citation.json"}</w:instrText>
      </w:r>
      <w:r w:rsidRPr="00256A58">
        <w:rPr>
          <w:lang w:val="en-GB"/>
        </w:rPr>
        <w:fldChar w:fldCharType="separate"/>
      </w:r>
      <w:r w:rsidRPr="00256A58">
        <w:rPr>
          <w:noProof/>
          <w:lang w:val="en-GB"/>
        </w:rPr>
        <w:t>[31]</w:t>
      </w:r>
      <w:r w:rsidRPr="00256A58">
        <w:rPr>
          <w:lang w:val="en-GB"/>
        </w:rPr>
        <w:fldChar w:fldCharType="end"/>
      </w:r>
      <w:r w:rsidRPr="00256A58">
        <w:rPr>
          <w:lang w:val="en-GB"/>
        </w:rPr>
        <w:t xml:space="preserve">. </w:t>
      </w:r>
    </w:p>
    <w:p w14:paraId="62378356" w14:textId="77777777" w:rsidR="00225332" w:rsidRPr="00256A58" w:rsidRDefault="00225332" w:rsidP="00225332">
      <w:pPr>
        <w:rPr>
          <w:lang w:val="en-GB"/>
        </w:rPr>
      </w:pPr>
    </w:p>
    <w:p w14:paraId="06B65DB7" w14:textId="77777777" w:rsidR="00225332" w:rsidRPr="00DF3EFF" w:rsidRDefault="00225332" w:rsidP="00225332">
      <w:pPr>
        <w:pStyle w:val="Overskrift2"/>
      </w:pPr>
      <w:r w:rsidRPr="00DF3EFF">
        <w:t>Statistical reports</w:t>
      </w:r>
    </w:p>
    <w:p w14:paraId="1D35DAA6" w14:textId="24CE441F" w:rsidR="00225332" w:rsidRPr="002C5826" w:rsidRDefault="00225332" w:rsidP="00225332">
      <w:pPr>
        <w:rPr>
          <w:lang w:val="en-GB" w:eastAsia="da-DK"/>
        </w:rPr>
      </w:pPr>
      <w:r w:rsidRPr="002C5826">
        <w:rPr>
          <w:lang w:val="en-GB"/>
        </w:rPr>
        <w:t xml:space="preserve">After completion of the trial, two independent statisticians will analyse the blinded data, where ‘A’ and ‘B’ refer to the two groups. The statisticians will independently test for assumptions and choose the correct analysis for each outcome. The chosen analyses are based on this statistical analysis plan. Results will be presented in two independent reports, </w:t>
      </w:r>
      <w:r w:rsidRPr="002C5826">
        <w:rPr>
          <w:lang w:val="en-GB"/>
        </w:rPr>
        <w:lastRenderedPageBreak/>
        <w:t xml:space="preserve">which will be compared by the coordinating investigator, the two statisticians, and the steering committee. Based on consensus from this group, the final statistical report will be </w:t>
      </w:r>
      <w:r w:rsidR="006174B1" w:rsidRPr="002C5826">
        <w:rPr>
          <w:lang w:val="en-GB"/>
        </w:rPr>
        <w:t>prepared</w:t>
      </w:r>
      <w:r w:rsidR="00BE512F" w:rsidRPr="002C5826">
        <w:rPr>
          <w:lang w:val="en-GB"/>
        </w:rPr>
        <w:t xml:space="preserve"> and</w:t>
      </w:r>
      <w:r w:rsidR="006174B1" w:rsidRPr="002C5826">
        <w:rPr>
          <w:lang w:val="en-GB"/>
        </w:rPr>
        <w:t xml:space="preserve"> </w:t>
      </w:r>
      <w:r w:rsidRPr="002C5826">
        <w:rPr>
          <w:lang w:val="en-GB"/>
        </w:rPr>
        <w:t xml:space="preserve">used to write two </w:t>
      </w:r>
      <w:r w:rsidR="00BE512F" w:rsidRPr="002C5826">
        <w:rPr>
          <w:lang w:val="en-GB"/>
        </w:rPr>
        <w:t xml:space="preserve">preliminary </w:t>
      </w:r>
      <w:r w:rsidRPr="002C5826">
        <w:rPr>
          <w:lang w:val="en-GB"/>
        </w:rPr>
        <w:t xml:space="preserve">abstracts by the steering committee: One assuming ‘A’ is the experimental group and ‘B’ is the control group – and one assuming the opposite. </w:t>
      </w:r>
      <w:r w:rsidR="00A71EDC" w:rsidRPr="002C5826">
        <w:rPr>
          <w:lang w:val="en-GB"/>
        </w:rPr>
        <w:t xml:space="preserve">Unblinding of data will be performed in two stages. Data up until discharge </w:t>
      </w:r>
      <w:r w:rsidR="00162E1A" w:rsidRPr="002C5826">
        <w:rPr>
          <w:lang w:val="en-GB"/>
        </w:rPr>
        <w:t xml:space="preserve">from ICU will be unblinded in a first stage to </w:t>
      </w:r>
      <w:r w:rsidR="00C61E24" w:rsidRPr="002C5826">
        <w:rPr>
          <w:lang w:val="en-GB"/>
        </w:rPr>
        <w:t>rap</w:t>
      </w:r>
      <w:r w:rsidR="00031CB7" w:rsidRPr="002C5826">
        <w:rPr>
          <w:lang w:val="en-GB"/>
        </w:rPr>
        <w:t>idly determine if separation is</w:t>
      </w:r>
      <w:r w:rsidR="00C61E24" w:rsidRPr="002C5826">
        <w:rPr>
          <w:lang w:val="en-GB"/>
        </w:rPr>
        <w:t xml:space="preserve"> achieved and if a larger trial is feasible. These data</w:t>
      </w:r>
      <w:r w:rsidR="00162E1A" w:rsidRPr="002C5826">
        <w:rPr>
          <w:lang w:val="en-GB"/>
        </w:rPr>
        <w:t xml:space="preserve"> will be included in the preliminary abstract</w:t>
      </w:r>
      <w:r w:rsidR="00031CB7" w:rsidRPr="002C5826">
        <w:rPr>
          <w:lang w:val="en-GB"/>
        </w:rPr>
        <w:t>s</w:t>
      </w:r>
      <w:r w:rsidR="00A71EDC" w:rsidRPr="002C5826">
        <w:rPr>
          <w:lang w:val="en-GB"/>
        </w:rPr>
        <w:t>.</w:t>
      </w:r>
      <w:r w:rsidR="00BE512F" w:rsidRPr="002C5826">
        <w:rPr>
          <w:lang w:val="en-GB"/>
        </w:rPr>
        <w:t xml:space="preserve"> </w:t>
      </w:r>
      <w:r w:rsidR="00133821" w:rsidRPr="002C5826">
        <w:rPr>
          <w:lang w:val="en-GB"/>
        </w:rPr>
        <w:t>F</w:t>
      </w:r>
      <w:r w:rsidR="00BE512F" w:rsidRPr="002C5826">
        <w:rPr>
          <w:lang w:val="en-GB"/>
        </w:rPr>
        <w:t xml:space="preserve">ollow up outcomes will be analysed </w:t>
      </w:r>
      <w:r w:rsidR="00133821" w:rsidRPr="002C5826">
        <w:rPr>
          <w:lang w:val="en-GB"/>
        </w:rPr>
        <w:t>and un</w:t>
      </w:r>
      <w:r w:rsidR="00A71EDC" w:rsidRPr="002C5826">
        <w:rPr>
          <w:lang w:val="en-GB"/>
        </w:rPr>
        <w:t>blinded in a second stage</w:t>
      </w:r>
      <w:r w:rsidR="00031CB7" w:rsidRPr="002C5826">
        <w:rPr>
          <w:lang w:val="en-GB"/>
        </w:rPr>
        <w:t xml:space="preserve"> and will not be included in the preliminary abstracts</w:t>
      </w:r>
      <w:r w:rsidR="00BE512F" w:rsidRPr="002C5826">
        <w:rPr>
          <w:lang w:val="en-GB"/>
        </w:rPr>
        <w:t>.</w:t>
      </w:r>
      <w:r w:rsidRPr="002C5826">
        <w:rPr>
          <w:lang w:val="en-GB"/>
        </w:rPr>
        <w:t xml:space="preserve">  </w:t>
      </w:r>
      <w:r w:rsidR="006174B1" w:rsidRPr="002C5826">
        <w:rPr>
          <w:lang w:val="en-GB"/>
        </w:rPr>
        <w:t>A</w:t>
      </w:r>
      <w:r w:rsidRPr="002C5826">
        <w:rPr>
          <w:lang w:val="en-GB"/>
        </w:rPr>
        <w:t xml:space="preserve">ll three statistical reports </w:t>
      </w:r>
      <w:r w:rsidR="00C2276A" w:rsidRPr="002C5826">
        <w:rPr>
          <w:lang w:val="en-GB"/>
        </w:rPr>
        <w:t xml:space="preserve">and the preliminary abstracts </w:t>
      </w:r>
      <w:r w:rsidRPr="002C5826">
        <w:rPr>
          <w:lang w:val="en-GB"/>
        </w:rPr>
        <w:t>will be published as supplementary material.</w:t>
      </w:r>
    </w:p>
    <w:p w14:paraId="1293FABD" w14:textId="77777777" w:rsidR="008976CE" w:rsidRPr="00DF3EFF" w:rsidRDefault="008976CE">
      <w:pPr>
        <w:spacing w:line="240" w:lineRule="auto"/>
        <w:rPr>
          <w:rFonts w:cs="Times New Roman"/>
          <w:b/>
          <w:sz w:val="32"/>
          <w:lang w:val="en-GB"/>
        </w:rPr>
      </w:pPr>
      <w:bookmarkStart w:id="22" w:name="_Toc104540103"/>
      <w:r w:rsidRPr="002C5826">
        <w:rPr>
          <w:lang w:val="en-GB"/>
        </w:rPr>
        <w:br w:type="page"/>
      </w:r>
    </w:p>
    <w:p w14:paraId="5D93C9A9" w14:textId="30E9C0BE" w:rsidR="00E173DA" w:rsidRPr="00DF3EFF" w:rsidRDefault="00E173DA" w:rsidP="008976CE">
      <w:pPr>
        <w:pStyle w:val="Overskrift1"/>
      </w:pPr>
      <w:r w:rsidRPr="00DF3EFF">
        <w:lastRenderedPageBreak/>
        <w:t>References</w:t>
      </w:r>
      <w:bookmarkEnd w:id="22"/>
      <w:r w:rsidRPr="00DF3EFF">
        <w:t xml:space="preserve"> </w:t>
      </w:r>
    </w:p>
    <w:p w14:paraId="072CDFC7" w14:textId="77777777" w:rsidR="00A41E11" w:rsidRPr="00DF3EFF" w:rsidRDefault="00A41E11" w:rsidP="005D4D88">
      <w:pPr>
        <w:rPr>
          <w:rFonts w:cs="Times New Roman"/>
          <w:lang w:val="en-GB"/>
        </w:rPr>
      </w:pPr>
    </w:p>
    <w:p w14:paraId="53411CB0" w14:textId="5E3A4461" w:rsidR="0025455F" w:rsidRPr="0074120F" w:rsidRDefault="0025455F" w:rsidP="005D4D88">
      <w:pPr>
        <w:rPr>
          <w:rFonts w:ascii="Arial" w:hAnsi="Arial" w:cs="Arial"/>
          <w:sz w:val="22"/>
          <w:szCs w:val="22"/>
          <w:lang w:val="en-GB"/>
        </w:rPr>
      </w:pPr>
      <w:r w:rsidRPr="00C62ABF">
        <w:rPr>
          <w:rFonts w:ascii="Arial" w:hAnsi="Arial" w:cs="Arial"/>
          <w:sz w:val="22"/>
          <w:szCs w:val="22"/>
          <w:lang w:val="en-GB"/>
        </w:rPr>
        <w:t>Boyd JH, Forbes J, Nakada TA, Walley KR, Russell JA: Fluid resuscitation in septic shock: a positive fluid balance and elevated central venous pressure are associated with increased mortality. Crit Care Me</w:t>
      </w:r>
      <w:r w:rsidRPr="0074120F">
        <w:rPr>
          <w:rFonts w:ascii="Arial" w:hAnsi="Arial" w:cs="Arial"/>
          <w:sz w:val="22"/>
          <w:szCs w:val="22"/>
          <w:lang w:val="en-GB"/>
        </w:rPr>
        <w:t>d. 2011; 39:</w:t>
      </w:r>
      <w:r w:rsidR="008621D6" w:rsidRPr="0074120F">
        <w:rPr>
          <w:rFonts w:ascii="Arial" w:hAnsi="Arial" w:cs="Arial"/>
          <w:sz w:val="22"/>
          <w:szCs w:val="22"/>
          <w:lang w:val="en-GB"/>
        </w:rPr>
        <w:t xml:space="preserve"> </w:t>
      </w:r>
      <w:r w:rsidRPr="0074120F">
        <w:rPr>
          <w:rFonts w:ascii="Arial" w:hAnsi="Arial" w:cs="Arial"/>
          <w:sz w:val="22"/>
          <w:szCs w:val="22"/>
          <w:lang w:val="en-GB"/>
        </w:rPr>
        <w:t>259-265.</w:t>
      </w:r>
    </w:p>
    <w:p w14:paraId="70DB8867" w14:textId="77777777" w:rsidR="00207ABD" w:rsidRPr="0074120F" w:rsidRDefault="00207ABD" w:rsidP="005D4D88">
      <w:pPr>
        <w:rPr>
          <w:rFonts w:ascii="Arial" w:hAnsi="Arial" w:cs="Arial"/>
          <w:sz w:val="22"/>
          <w:szCs w:val="22"/>
          <w:lang w:val="en-GB"/>
        </w:rPr>
      </w:pPr>
    </w:p>
    <w:p w14:paraId="3674168D" w14:textId="06DFF618" w:rsidR="00207ABD" w:rsidRPr="0074120F" w:rsidRDefault="00207ABD" w:rsidP="005D4D88">
      <w:pPr>
        <w:rPr>
          <w:rFonts w:ascii="Arial" w:hAnsi="Arial" w:cs="Arial"/>
          <w:sz w:val="22"/>
          <w:szCs w:val="22"/>
          <w:lang w:val="en-GB"/>
        </w:rPr>
      </w:pPr>
      <w:r w:rsidRPr="0074120F">
        <w:rPr>
          <w:rFonts w:ascii="Arial" w:hAnsi="Arial" w:cs="Arial"/>
          <w:sz w:val="22"/>
          <w:szCs w:val="22"/>
          <w:lang w:val="en-GB"/>
        </w:rPr>
        <w:t>Brown SM, Collingridge DS, Wilson EL</w:t>
      </w:r>
      <w:r w:rsidR="005709C8" w:rsidRPr="0074120F">
        <w:rPr>
          <w:rFonts w:ascii="Arial" w:hAnsi="Arial" w:cs="Arial"/>
          <w:sz w:val="22"/>
          <w:szCs w:val="22"/>
          <w:lang w:val="en-GB"/>
        </w:rPr>
        <w:t xml:space="preserve"> et al. </w:t>
      </w:r>
      <w:r w:rsidRPr="0074120F">
        <w:rPr>
          <w:rFonts w:ascii="Arial" w:hAnsi="Arial" w:cs="Arial"/>
          <w:sz w:val="22"/>
          <w:szCs w:val="22"/>
          <w:lang w:val="en-GB"/>
        </w:rPr>
        <w:t>Preliminary Validation of the Montreal Cognitive Assessment Tool among Sepsis Survivors: A Prospective Pilot Study. Ann Am Thorac Soc. 2018;</w:t>
      </w:r>
      <w:r w:rsidR="008621D6" w:rsidRPr="0074120F">
        <w:rPr>
          <w:rFonts w:ascii="Arial" w:hAnsi="Arial" w:cs="Arial"/>
          <w:sz w:val="22"/>
          <w:szCs w:val="22"/>
          <w:lang w:val="en-GB"/>
        </w:rPr>
        <w:t xml:space="preserve"> </w:t>
      </w:r>
      <w:r w:rsidRPr="0074120F">
        <w:rPr>
          <w:rFonts w:ascii="Arial" w:hAnsi="Arial" w:cs="Arial"/>
          <w:sz w:val="22"/>
          <w:szCs w:val="22"/>
          <w:lang w:val="en-GB"/>
        </w:rPr>
        <w:t>15:</w:t>
      </w:r>
      <w:r w:rsidR="008621D6" w:rsidRPr="0074120F">
        <w:rPr>
          <w:rFonts w:ascii="Arial" w:hAnsi="Arial" w:cs="Arial"/>
          <w:sz w:val="22"/>
          <w:szCs w:val="22"/>
          <w:lang w:val="en-GB"/>
        </w:rPr>
        <w:t xml:space="preserve"> </w:t>
      </w:r>
      <w:r w:rsidRPr="0074120F">
        <w:rPr>
          <w:rFonts w:ascii="Arial" w:hAnsi="Arial" w:cs="Arial"/>
          <w:sz w:val="22"/>
          <w:szCs w:val="22"/>
          <w:lang w:val="en-GB"/>
        </w:rPr>
        <w:t xml:space="preserve">1108-1110. </w:t>
      </w:r>
    </w:p>
    <w:p w14:paraId="310CC590" w14:textId="77777777" w:rsidR="00207ABD" w:rsidRPr="0074120F" w:rsidRDefault="00207ABD" w:rsidP="005D4D88">
      <w:pPr>
        <w:rPr>
          <w:rFonts w:ascii="Arial" w:hAnsi="Arial" w:cs="Arial"/>
          <w:sz w:val="22"/>
          <w:szCs w:val="22"/>
          <w:lang w:val="en-GB"/>
        </w:rPr>
      </w:pPr>
    </w:p>
    <w:p w14:paraId="212932A5" w14:textId="58F09ECE" w:rsidR="00116C98" w:rsidRPr="0074120F" w:rsidRDefault="00116C98" w:rsidP="005D4D88">
      <w:pPr>
        <w:rPr>
          <w:rFonts w:ascii="Arial" w:hAnsi="Arial" w:cs="Arial"/>
          <w:sz w:val="22"/>
          <w:szCs w:val="22"/>
          <w:lang w:val="en-GB"/>
        </w:rPr>
      </w:pPr>
      <w:r w:rsidRPr="0074120F">
        <w:rPr>
          <w:rFonts w:ascii="Arial" w:hAnsi="Arial" w:cs="Arial"/>
          <w:sz w:val="22"/>
          <w:szCs w:val="22"/>
          <w:lang w:val="en-GB"/>
        </w:rPr>
        <w:t>Douglas IS, Alapat PM, Corl KA</w:t>
      </w:r>
      <w:r w:rsidR="005709C8" w:rsidRPr="0074120F">
        <w:rPr>
          <w:rFonts w:ascii="Arial" w:hAnsi="Arial" w:cs="Arial"/>
          <w:sz w:val="22"/>
          <w:szCs w:val="22"/>
          <w:lang w:val="en-GB"/>
        </w:rPr>
        <w:t xml:space="preserve"> et al. </w:t>
      </w:r>
      <w:r w:rsidRPr="0074120F">
        <w:rPr>
          <w:rFonts w:ascii="Arial" w:hAnsi="Arial" w:cs="Arial"/>
          <w:sz w:val="22"/>
          <w:szCs w:val="22"/>
          <w:lang w:val="en-GB"/>
        </w:rPr>
        <w:t xml:space="preserve">Fluid Response Evaluation in Sepsis Hypotension and Shock: A Randomized Clinical Trial. Chest. </w:t>
      </w:r>
      <w:r w:rsidR="008621D6" w:rsidRPr="0074120F">
        <w:rPr>
          <w:rFonts w:ascii="Arial" w:hAnsi="Arial" w:cs="Arial"/>
          <w:sz w:val="22"/>
          <w:szCs w:val="22"/>
          <w:lang w:val="en-GB"/>
        </w:rPr>
        <w:t>2020; 158: 1431-1445.</w:t>
      </w:r>
      <w:r w:rsidR="008621D6" w:rsidRPr="0074120F" w:rsidDel="008621D6">
        <w:rPr>
          <w:rFonts w:ascii="Arial" w:hAnsi="Arial" w:cs="Arial"/>
          <w:sz w:val="22"/>
          <w:szCs w:val="22"/>
          <w:lang w:val="en-GB"/>
        </w:rPr>
        <w:t xml:space="preserve"> </w:t>
      </w:r>
    </w:p>
    <w:p w14:paraId="5E983EA0" w14:textId="77777777" w:rsidR="00634166" w:rsidRPr="00D3026E" w:rsidRDefault="00634166" w:rsidP="005D4D88">
      <w:pPr>
        <w:rPr>
          <w:rFonts w:ascii="Arial" w:hAnsi="Arial" w:cs="Arial"/>
          <w:sz w:val="22"/>
          <w:szCs w:val="22"/>
          <w:lang w:val="en-GB"/>
        </w:rPr>
      </w:pPr>
    </w:p>
    <w:p w14:paraId="5DD747F9" w14:textId="08C22A0A" w:rsidR="00634166" w:rsidRPr="00D3026E" w:rsidRDefault="00634166" w:rsidP="005D4D88">
      <w:pPr>
        <w:rPr>
          <w:rFonts w:ascii="Arial" w:hAnsi="Arial" w:cs="Arial"/>
          <w:sz w:val="22"/>
          <w:szCs w:val="22"/>
          <w:lang w:val="en-GB"/>
        </w:rPr>
      </w:pPr>
      <w:r w:rsidRPr="00D3026E">
        <w:rPr>
          <w:rFonts w:ascii="Arial" w:hAnsi="Arial" w:cs="Arial"/>
          <w:sz w:val="22"/>
          <w:szCs w:val="22"/>
          <w:lang w:val="en-GB"/>
        </w:rPr>
        <w:t>Evans L, Rhodes A, Alhazzani W</w:t>
      </w:r>
      <w:r w:rsidR="00DD27CC" w:rsidRPr="00D3026E">
        <w:rPr>
          <w:rFonts w:ascii="Arial" w:hAnsi="Arial" w:cs="Arial"/>
          <w:sz w:val="22"/>
          <w:szCs w:val="22"/>
          <w:lang w:val="en-GB"/>
        </w:rPr>
        <w:t xml:space="preserve"> et al.</w:t>
      </w:r>
      <w:r w:rsidRPr="00D3026E">
        <w:rPr>
          <w:rFonts w:ascii="Arial" w:hAnsi="Arial" w:cs="Arial"/>
          <w:sz w:val="22"/>
          <w:szCs w:val="22"/>
          <w:lang w:val="en-GB"/>
        </w:rPr>
        <w:t xml:space="preserve"> Surviving sepsis campaign: international guidelines for management of sepsis and septic shock 2021. Intensive Care Med. 2021;</w:t>
      </w:r>
      <w:r w:rsidR="00D3026E">
        <w:rPr>
          <w:rFonts w:ascii="Arial" w:hAnsi="Arial" w:cs="Arial"/>
          <w:sz w:val="22"/>
          <w:szCs w:val="22"/>
          <w:lang w:val="en-GB"/>
        </w:rPr>
        <w:t xml:space="preserve"> </w:t>
      </w:r>
      <w:r w:rsidRPr="00D3026E">
        <w:rPr>
          <w:rFonts w:ascii="Arial" w:hAnsi="Arial" w:cs="Arial"/>
          <w:sz w:val="22"/>
          <w:szCs w:val="22"/>
          <w:lang w:val="en-GB"/>
        </w:rPr>
        <w:t>47:</w:t>
      </w:r>
      <w:r w:rsidR="00D3026E">
        <w:rPr>
          <w:rFonts w:ascii="Arial" w:hAnsi="Arial" w:cs="Arial"/>
          <w:sz w:val="22"/>
          <w:szCs w:val="22"/>
          <w:lang w:val="en-GB"/>
        </w:rPr>
        <w:t xml:space="preserve"> </w:t>
      </w:r>
      <w:r w:rsidRPr="00D3026E">
        <w:rPr>
          <w:rFonts w:ascii="Arial" w:hAnsi="Arial" w:cs="Arial"/>
          <w:sz w:val="22"/>
          <w:szCs w:val="22"/>
          <w:lang w:val="en-GB"/>
        </w:rPr>
        <w:t xml:space="preserve">1181-1247. </w:t>
      </w:r>
    </w:p>
    <w:p w14:paraId="5152C879" w14:textId="77777777" w:rsidR="00046982" w:rsidRPr="00D3026E" w:rsidRDefault="00046982" w:rsidP="005D4D88">
      <w:pPr>
        <w:rPr>
          <w:rFonts w:ascii="Arial" w:hAnsi="Arial" w:cs="Arial"/>
          <w:sz w:val="22"/>
          <w:szCs w:val="22"/>
          <w:lang w:val="en-GB"/>
        </w:rPr>
      </w:pPr>
    </w:p>
    <w:p w14:paraId="3E9A97AE" w14:textId="7B44DE0B" w:rsidR="00046982" w:rsidRPr="00D3026E" w:rsidRDefault="00046982" w:rsidP="005D4D88">
      <w:pPr>
        <w:rPr>
          <w:rFonts w:ascii="Arial" w:hAnsi="Arial" w:cs="Arial"/>
          <w:sz w:val="22"/>
          <w:szCs w:val="22"/>
          <w:lang w:val="en-GB"/>
        </w:rPr>
      </w:pPr>
      <w:r w:rsidRPr="00D3026E">
        <w:rPr>
          <w:rFonts w:ascii="Arial" w:hAnsi="Arial" w:cs="Arial"/>
          <w:sz w:val="22"/>
          <w:szCs w:val="22"/>
          <w:lang w:val="en-GB"/>
        </w:rPr>
        <w:t>Finfer S, Liu B, Taylor C et al. Resuscitation fluid use in critically ill adults: an international cross-sectional study in 391 intensive care units. Crit Care. 2010; 14:</w:t>
      </w:r>
      <w:r w:rsidR="008621D6" w:rsidRPr="00D3026E">
        <w:rPr>
          <w:rFonts w:ascii="Arial" w:hAnsi="Arial" w:cs="Arial"/>
          <w:sz w:val="22"/>
          <w:szCs w:val="22"/>
          <w:lang w:val="en-GB"/>
        </w:rPr>
        <w:t xml:space="preserve"> </w:t>
      </w:r>
      <w:r w:rsidRPr="00D3026E">
        <w:rPr>
          <w:rFonts w:ascii="Arial" w:hAnsi="Arial" w:cs="Arial"/>
          <w:sz w:val="22"/>
          <w:szCs w:val="22"/>
          <w:lang w:val="en-GB"/>
        </w:rPr>
        <w:t>R185.</w:t>
      </w:r>
    </w:p>
    <w:p w14:paraId="310B08D3" w14:textId="77777777" w:rsidR="00424EA8" w:rsidRPr="0074120F" w:rsidRDefault="00424EA8" w:rsidP="005D4D88">
      <w:pPr>
        <w:rPr>
          <w:rFonts w:ascii="Arial" w:hAnsi="Arial" w:cs="Arial"/>
          <w:sz w:val="22"/>
          <w:szCs w:val="22"/>
          <w:lang w:val="en-GB"/>
        </w:rPr>
      </w:pPr>
    </w:p>
    <w:p w14:paraId="65B3A83A" w14:textId="2209257F" w:rsidR="00207ABD" w:rsidRPr="0074120F" w:rsidRDefault="00207ABD" w:rsidP="005D4D88">
      <w:pPr>
        <w:rPr>
          <w:rFonts w:ascii="Arial" w:hAnsi="Arial" w:cs="Arial"/>
          <w:sz w:val="22"/>
          <w:szCs w:val="22"/>
          <w:lang w:val="en-GB"/>
        </w:rPr>
      </w:pPr>
      <w:r w:rsidRPr="0074120F">
        <w:rPr>
          <w:rFonts w:ascii="Arial" w:hAnsi="Arial" w:cs="Arial"/>
          <w:sz w:val="22"/>
          <w:szCs w:val="22"/>
          <w:lang w:val="en-GB"/>
        </w:rPr>
        <w:t>Granja C, Dias C, Costa-Pereira A, Sarmento A. Quality of life of survivors from severe sepsis and septic shock may be similar to that of others who survive critical illness. Crit Care 2004;</w:t>
      </w:r>
      <w:r w:rsidR="008621D6" w:rsidRPr="0074120F">
        <w:rPr>
          <w:rFonts w:ascii="Arial" w:hAnsi="Arial" w:cs="Arial"/>
          <w:sz w:val="22"/>
          <w:szCs w:val="22"/>
          <w:lang w:val="en-GB"/>
        </w:rPr>
        <w:t xml:space="preserve"> </w:t>
      </w:r>
      <w:r w:rsidRPr="0074120F">
        <w:rPr>
          <w:rFonts w:ascii="Arial" w:hAnsi="Arial" w:cs="Arial"/>
          <w:sz w:val="22"/>
          <w:szCs w:val="22"/>
          <w:lang w:val="en-GB"/>
        </w:rPr>
        <w:t>8:</w:t>
      </w:r>
      <w:r w:rsidR="008621D6" w:rsidRPr="0074120F">
        <w:rPr>
          <w:rFonts w:ascii="Arial" w:hAnsi="Arial" w:cs="Arial"/>
          <w:sz w:val="22"/>
          <w:szCs w:val="22"/>
          <w:lang w:val="en-GB"/>
        </w:rPr>
        <w:t xml:space="preserve"> </w:t>
      </w:r>
      <w:r w:rsidRPr="0074120F">
        <w:rPr>
          <w:rFonts w:ascii="Arial" w:hAnsi="Arial" w:cs="Arial"/>
          <w:sz w:val="22"/>
          <w:szCs w:val="22"/>
          <w:lang w:val="en-GB"/>
        </w:rPr>
        <w:t>R91-8. </w:t>
      </w:r>
    </w:p>
    <w:p w14:paraId="3CCD14A4" w14:textId="0100CEB0" w:rsidR="00962789" w:rsidRPr="0074120F" w:rsidRDefault="00962789" w:rsidP="005D4D88">
      <w:pPr>
        <w:rPr>
          <w:rFonts w:ascii="Arial" w:hAnsi="Arial" w:cs="Arial"/>
          <w:sz w:val="22"/>
          <w:szCs w:val="22"/>
          <w:lang w:val="en-GB"/>
        </w:rPr>
      </w:pPr>
    </w:p>
    <w:p w14:paraId="1705D75C" w14:textId="15442FA7" w:rsidR="00962789" w:rsidRPr="0074120F" w:rsidRDefault="00962789" w:rsidP="005D4D88">
      <w:pPr>
        <w:rPr>
          <w:rFonts w:ascii="Arial" w:hAnsi="Arial" w:cs="Arial"/>
          <w:color w:val="000000" w:themeColor="text1"/>
          <w:sz w:val="22"/>
          <w:szCs w:val="22"/>
          <w:lang w:val="en-GB"/>
        </w:rPr>
      </w:pPr>
      <w:r w:rsidRPr="0074120F">
        <w:rPr>
          <w:rFonts w:ascii="Arial" w:hAnsi="Arial" w:cs="Arial"/>
          <w:color w:val="000000" w:themeColor="text1"/>
          <w:sz w:val="22"/>
          <w:szCs w:val="22"/>
          <w:shd w:val="clear" w:color="auto" w:fill="FFFFFF"/>
          <w:lang w:val="en-GB"/>
        </w:rPr>
        <w:t>Hammond NE, Finfer SR, Li Q, Taylor C, Cohen J, Arabi Y et al. </w:t>
      </w:r>
      <w:r w:rsidRPr="0074120F">
        <w:rPr>
          <w:rStyle w:val="Rubrik1"/>
          <w:rFonts w:ascii="Arial" w:hAnsi="Arial" w:cs="Arial"/>
          <w:color w:val="000000" w:themeColor="text1"/>
          <w:sz w:val="22"/>
          <w:szCs w:val="22"/>
          <w:shd w:val="clear" w:color="auto" w:fill="FFFFFF"/>
          <w:lang w:val="en-GB"/>
        </w:rPr>
        <w:t>Health-related quality of life in survivors of septic shock: </w:t>
      </w:r>
      <w:r w:rsidRPr="0074120F">
        <w:rPr>
          <w:rStyle w:val="Underrubrik1"/>
          <w:rFonts w:ascii="Arial" w:hAnsi="Arial" w:cs="Arial"/>
          <w:color w:val="000000" w:themeColor="text1"/>
          <w:sz w:val="22"/>
          <w:szCs w:val="22"/>
          <w:shd w:val="clear" w:color="auto" w:fill="FFFFFF"/>
          <w:lang w:val="en-GB"/>
        </w:rPr>
        <w:t>6-month follow-up from the ADRENAL trial</w:t>
      </w:r>
      <w:r w:rsidRPr="0074120F">
        <w:rPr>
          <w:rFonts w:ascii="Arial" w:hAnsi="Arial" w:cs="Arial"/>
          <w:color w:val="000000" w:themeColor="text1"/>
          <w:sz w:val="22"/>
          <w:szCs w:val="22"/>
          <w:shd w:val="clear" w:color="auto" w:fill="FFFFFF"/>
          <w:lang w:val="en-GB"/>
        </w:rPr>
        <w:t>. Intensive Care Medicine. 2020;46:1696-1706. </w:t>
      </w:r>
    </w:p>
    <w:p w14:paraId="7E35146D" w14:textId="77777777" w:rsidR="00046982" w:rsidRPr="0074120F" w:rsidRDefault="00046982" w:rsidP="005D4D88">
      <w:pPr>
        <w:rPr>
          <w:rFonts w:ascii="Arial" w:hAnsi="Arial" w:cs="Arial"/>
          <w:sz w:val="22"/>
          <w:szCs w:val="22"/>
          <w:lang w:val="en-GB"/>
        </w:rPr>
      </w:pPr>
    </w:p>
    <w:p w14:paraId="4D18EDB7" w14:textId="2F398C9A" w:rsidR="00A31D55" w:rsidRPr="00C62ABF" w:rsidRDefault="00A31D55" w:rsidP="005D4D88">
      <w:pPr>
        <w:rPr>
          <w:rFonts w:ascii="Arial" w:hAnsi="Arial" w:cs="Arial"/>
          <w:sz w:val="22"/>
          <w:szCs w:val="22"/>
          <w:lang w:val="en-GB"/>
        </w:rPr>
      </w:pPr>
      <w:r w:rsidRPr="0074120F">
        <w:rPr>
          <w:rFonts w:ascii="Arial" w:hAnsi="Arial" w:cs="Arial"/>
          <w:sz w:val="22"/>
          <w:szCs w:val="22"/>
          <w:lang w:val="en-GB"/>
        </w:rPr>
        <w:t>Herdman</w:t>
      </w:r>
      <w:r w:rsidR="007F4F6B" w:rsidRPr="0074120F">
        <w:rPr>
          <w:rFonts w:ascii="Arial" w:hAnsi="Arial" w:cs="Arial"/>
          <w:sz w:val="22"/>
          <w:szCs w:val="22"/>
          <w:lang w:val="en-GB"/>
        </w:rPr>
        <w:t xml:space="preserve"> M</w:t>
      </w:r>
      <w:r w:rsidRPr="0074120F">
        <w:rPr>
          <w:rFonts w:ascii="Arial" w:hAnsi="Arial" w:cs="Arial"/>
          <w:sz w:val="22"/>
          <w:szCs w:val="22"/>
          <w:lang w:val="en-GB"/>
        </w:rPr>
        <w:t>, Claire Gudex, A Lloyd</w:t>
      </w:r>
      <w:r w:rsidR="003852C7" w:rsidRPr="0074120F">
        <w:rPr>
          <w:rFonts w:ascii="Arial" w:hAnsi="Arial" w:cs="Arial"/>
          <w:sz w:val="22"/>
          <w:szCs w:val="22"/>
          <w:lang w:val="en-GB"/>
        </w:rPr>
        <w:t xml:space="preserve"> et al</w:t>
      </w:r>
      <w:r w:rsidRPr="0074120F">
        <w:rPr>
          <w:rFonts w:ascii="Arial" w:hAnsi="Arial" w:cs="Arial"/>
          <w:sz w:val="22"/>
          <w:szCs w:val="22"/>
          <w:lang w:val="en-GB"/>
        </w:rPr>
        <w:t>. Development and preliminary testing of the new five-level version of eq-5d</w:t>
      </w:r>
      <w:r w:rsidR="006010A3" w:rsidRPr="0074120F">
        <w:rPr>
          <w:rFonts w:ascii="Arial" w:hAnsi="Arial" w:cs="Arial"/>
          <w:sz w:val="22"/>
          <w:szCs w:val="22"/>
          <w:lang w:val="en-GB"/>
        </w:rPr>
        <w:t xml:space="preserve"> </w:t>
      </w:r>
      <w:r w:rsidRPr="0074120F">
        <w:rPr>
          <w:rFonts w:ascii="Arial" w:hAnsi="Arial" w:cs="Arial"/>
          <w:sz w:val="22"/>
          <w:szCs w:val="22"/>
          <w:lang w:val="en-GB"/>
        </w:rPr>
        <w:t xml:space="preserve">(eq-5d-5l). Quality of life research, </w:t>
      </w:r>
      <w:r w:rsidR="00C62ABF" w:rsidRPr="005B6610">
        <w:rPr>
          <w:rFonts w:ascii="Arial" w:hAnsi="Arial" w:cs="Arial"/>
          <w:sz w:val="22"/>
          <w:szCs w:val="22"/>
          <w:lang w:val="en-GB"/>
        </w:rPr>
        <w:t>2011</w:t>
      </w:r>
      <w:r w:rsidR="00C62ABF">
        <w:rPr>
          <w:rFonts w:ascii="Arial" w:hAnsi="Arial" w:cs="Arial"/>
          <w:sz w:val="22"/>
          <w:szCs w:val="22"/>
          <w:lang w:val="en-GB"/>
        </w:rPr>
        <w:t xml:space="preserve">; </w:t>
      </w:r>
      <w:r w:rsidRPr="00C62ABF">
        <w:rPr>
          <w:rFonts w:ascii="Arial" w:hAnsi="Arial" w:cs="Arial"/>
          <w:sz w:val="22"/>
          <w:szCs w:val="22"/>
          <w:lang w:val="en-GB"/>
        </w:rPr>
        <w:t>20:</w:t>
      </w:r>
      <w:r w:rsidR="008621D6" w:rsidRPr="00C62ABF">
        <w:rPr>
          <w:rFonts w:ascii="Arial" w:hAnsi="Arial" w:cs="Arial"/>
          <w:sz w:val="22"/>
          <w:szCs w:val="22"/>
          <w:lang w:val="en-GB"/>
        </w:rPr>
        <w:t xml:space="preserve"> </w:t>
      </w:r>
      <w:r w:rsidRPr="00C62ABF">
        <w:rPr>
          <w:rFonts w:ascii="Arial" w:hAnsi="Arial" w:cs="Arial"/>
          <w:sz w:val="22"/>
          <w:szCs w:val="22"/>
          <w:lang w:val="en-GB"/>
        </w:rPr>
        <w:t>1727–1736.</w:t>
      </w:r>
    </w:p>
    <w:p w14:paraId="2B34B888" w14:textId="77777777" w:rsidR="007B4CE1" w:rsidRPr="0074120F" w:rsidRDefault="007B4CE1" w:rsidP="005D4D88">
      <w:pPr>
        <w:rPr>
          <w:rFonts w:ascii="Arial" w:hAnsi="Arial" w:cs="Arial"/>
          <w:sz w:val="22"/>
          <w:szCs w:val="22"/>
          <w:lang w:val="en-GB"/>
        </w:rPr>
      </w:pPr>
    </w:p>
    <w:p w14:paraId="0FDAA4C6" w14:textId="4E81416E" w:rsidR="007B4CE1" w:rsidRPr="00890DEA" w:rsidRDefault="007B4CE1" w:rsidP="005D4D88">
      <w:pPr>
        <w:rPr>
          <w:rFonts w:ascii="Arial" w:hAnsi="Arial" w:cs="Arial"/>
          <w:sz w:val="22"/>
          <w:szCs w:val="22"/>
        </w:rPr>
      </w:pPr>
      <w:r w:rsidRPr="0074120F">
        <w:rPr>
          <w:rFonts w:ascii="Arial" w:hAnsi="Arial" w:cs="Arial"/>
          <w:sz w:val="22"/>
          <w:szCs w:val="22"/>
          <w:lang w:val="en-GB"/>
        </w:rPr>
        <w:t>Hernández G, Ospina-Tascón GA, Damiani LP</w:t>
      </w:r>
      <w:r w:rsidR="0086078E" w:rsidRPr="0074120F">
        <w:rPr>
          <w:rFonts w:ascii="Arial" w:hAnsi="Arial" w:cs="Arial"/>
          <w:sz w:val="22"/>
          <w:szCs w:val="22"/>
          <w:lang w:val="en-GB"/>
        </w:rPr>
        <w:t xml:space="preserve"> et al.</w:t>
      </w:r>
      <w:r w:rsidRPr="0074120F">
        <w:rPr>
          <w:rFonts w:ascii="Arial" w:hAnsi="Arial" w:cs="Arial"/>
          <w:sz w:val="22"/>
          <w:szCs w:val="22"/>
          <w:lang w:val="en-GB"/>
        </w:rPr>
        <w:t xml:space="preserve"> Effect of a Resuscitation Strategy Targeting Peripheral Perfusion Status vs Serum Lactate Levels on 28-Day Mortality Among Patients With Septic Shock: The ANDROMEDA-SHOCK Randomized Clinical Trial. </w:t>
      </w:r>
      <w:r w:rsidRPr="00890DEA">
        <w:rPr>
          <w:rFonts w:ascii="Arial" w:hAnsi="Arial" w:cs="Arial"/>
          <w:sz w:val="22"/>
          <w:szCs w:val="22"/>
        </w:rPr>
        <w:t>JAMA. 2019;</w:t>
      </w:r>
      <w:r w:rsidR="008621D6" w:rsidRPr="00C62ABF">
        <w:rPr>
          <w:rFonts w:ascii="Arial" w:hAnsi="Arial" w:cs="Arial"/>
          <w:sz w:val="22"/>
          <w:szCs w:val="22"/>
        </w:rPr>
        <w:t xml:space="preserve"> </w:t>
      </w:r>
      <w:r w:rsidRPr="00890DEA">
        <w:rPr>
          <w:rFonts w:ascii="Arial" w:hAnsi="Arial" w:cs="Arial"/>
          <w:sz w:val="22"/>
          <w:szCs w:val="22"/>
        </w:rPr>
        <w:t>321:</w:t>
      </w:r>
      <w:r w:rsidR="008621D6" w:rsidRPr="00C62ABF">
        <w:rPr>
          <w:rFonts w:ascii="Arial" w:hAnsi="Arial" w:cs="Arial"/>
          <w:sz w:val="22"/>
          <w:szCs w:val="22"/>
        </w:rPr>
        <w:t xml:space="preserve"> </w:t>
      </w:r>
      <w:r w:rsidRPr="00890DEA">
        <w:rPr>
          <w:rFonts w:ascii="Arial" w:hAnsi="Arial" w:cs="Arial"/>
          <w:sz w:val="22"/>
          <w:szCs w:val="22"/>
        </w:rPr>
        <w:t xml:space="preserve">654-664. </w:t>
      </w:r>
    </w:p>
    <w:p w14:paraId="20980011" w14:textId="77777777" w:rsidR="007B4CE1" w:rsidRPr="00890DEA" w:rsidRDefault="007B4CE1" w:rsidP="005D4D88">
      <w:pPr>
        <w:rPr>
          <w:rFonts w:ascii="Arial" w:hAnsi="Arial" w:cs="Arial"/>
          <w:sz w:val="22"/>
          <w:szCs w:val="22"/>
        </w:rPr>
      </w:pPr>
    </w:p>
    <w:p w14:paraId="49923717" w14:textId="06AB8A7B" w:rsidR="0025455F" w:rsidRPr="00D3026E" w:rsidRDefault="0025455F" w:rsidP="005D4D88">
      <w:pPr>
        <w:rPr>
          <w:rFonts w:ascii="Arial" w:hAnsi="Arial" w:cs="Arial"/>
          <w:sz w:val="22"/>
          <w:szCs w:val="22"/>
          <w:lang w:val="en-GB"/>
        </w:rPr>
      </w:pPr>
      <w:r w:rsidRPr="00C62ABF">
        <w:rPr>
          <w:rFonts w:ascii="Arial" w:hAnsi="Arial" w:cs="Arial"/>
          <w:sz w:val="22"/>
          <w:szCs w:val="22"/>
        </w:rPr>
        <w:lastRenderedPageBreak/>
        <w:t xml:space="preserve">Hjortrup PB, Haase N, Bundgaard H et al. </w:t>
      </w:r>
      <w:r w:rsidRPr="00C62ABF">
        <w:rPr>
          <w:rFonts w:ascii="Arial" w:hAnsi="Arial" w:cs="Arial"/>
          <w:sz w:val="22"/>
          <w:szCs w:val="22"/>
          <w:lang w:val="en-GB"/>
        </w:rPr>
        <w:t xml:space="preserve">Restricting volumes of resuscitation fluid in adults with septic shock after initial management: the CLASSIC randomised, parallel-group, multicentre feasibility trial. </w:t>
      </w:r>
      <w:r w:rsidRPr="00646FC3">
        <w:rPr>
          <w:rFonts w:ascii="Arial" w:hAnsi="Arial" w:cs="Arial"/>
          <w:sz w:val="22"/>
          <w:szCs w:val="22"/>
          <w:lang w:val="en-GB"/>
        </w:rPr>
        <w:t>Intensive Care Med. 2016; 42:</w:t>
      </w:r>
      <w:r w:rsidR="008621D6" w:rsidRPr="00D3026E">
        <w:rPr>
          <w:rFonts w:ascii="Arial" w:hAnsi="Arial" w:cs="Arial"/>
          <w:sz w:val="22"/>
          <w:szCs w:val="22"/>
          <w:lang w:val="en-GB"/>
        </w:rPr>
        <w:t xml:space="preserve"> </w:t>
      </w:r>
      <w:r w:rsidRPr="00D3026E">
        <w:rPr>
          <w:rFonts w:ascii="Arial" w:hAnsi="Arial" w:cs="Arial"/>
          <w:sz w:val="22"/>
          <w:szCs w:val="22"/>
          <w:lang w:val="en-GB"/>
        </w:rPr>
        <w:t>1695-1705.</w:t>
      </w:r>
    </w:p>
    <w:p w14:paraId="24CBE991" w14:textId="77777777" w:rsidR="00207ABD" w:rsidRPr="00D3026E" w:rsidRDefault="00207ABD" w:rsidP="005D4D88">
      <w:pPr>
        <w:rPr>
          <w:rFonts w:ascii="Arial" w:hAnsi="Arial" w:cs="Arial"/>
          <w:sz w:val="22"/>
          <w:szCs w:val="22"/>
          <w:lang w:val="en-GB"/>
        </w:rPr>
      </w:pPr>
    </w:p>
    <w:p w14:paraId="3DCC2596" w14:textId="4FB7E9CF" w:rsidR="00207ABD" w:rsidRPr="0074120F" w:rsidRDefault="00207ABD" w:rsidP="005D4D88">
      <w:pPr>
        <w:rPr>
          <w:rFonts w:ascii="Arial" w:hAnsi="Arial" w:cs="Arial"/>
          <w:sz w:val="22"/>
          <w:szCs w:val="22"/>
          <w:lang w:val="en-GB"/>
        </w:rPr>
      </w:pPr>
      <w:r w:rsidRPr="0074120F">
        <w:rPr>
          <w:rFonts w:ascii="Arial" w:hAnsi="Arial" w:cs="Arial"/>
          <w:sz w:val="22"/>
          <w:szCs w:val="22"/>
        </w:rPr>
        <w:t xml:space="preserve">Holst LB, Haase N, Wetterslev J et al. </w:t>
      </w:r>
      <w:r w:rsidRPr="0074120F">
        <w:rPr>
          <w:rFonts w:ascii="Arial" w:hAnsi="Arial" w:cs="Arial"/>
          <w:sz w:val="22"/>
          <w:szCs w:val="22"/>
          <w:lang w:val="en-GB"/>
        </w:rPr>
        <w:t>Lower versus higher hemoglobin threshold for transfusion in septic shock. N Engl J Med. 2014;</w:t>
      </w:r>
      <w:r w:rsidR="008621D6" w:rsidRPr="0074120F">
        <w:rPr>
          <w:rFonts w:ascii="Arial" w:hAnsi="Arial" w:cs="Arial"/>
          <w:sz w:val="22"/>
          <w:szCs w:val="22"/>
          <w:lang w:val="en-GB"/>
        </w:rPr>
        <w:t xml:space="preserve"> </w:t>
      </w:r>
      <w:r w:rsidRPr="0074120F">
        <w:rPr>
          <w:rFonts w:ascii="Arial" w:hAnsi="Arial" w:cs="Arial"/>
          <w:sz w:val="22"/>
          <w:szCs w:val="22"/>
          <w:lang w:val="en-GB"/>
        </w:rPr>
        <w:t>371:</w:t>
      </w:r>
      <w:r w:rsidR="008621D6" w:rsidRPr="0074120F">
        <w:rPr>
          <w:rFonts w:ascii="Arial" w:hAnsi="Arial" w:cs="Arial"/>
          <w:sz w:val="22"/>
          <w:szCs w:val="22"/>
          <w:lang w:val="en-GB"/>
        </w:rPr>
        <w:t xml:space="preserve"> </w:t>
      </w:r>
      <w:r w:rsidRPr="0074120F">
        <w:rPr>
          <w:rFonts w:ascii="Arial" w:hAnsi="Arial" w:cs="Arial"/>
          <w:sz w:val="22"/>
          <w:szCs w:val="22"/>
          <w:lang w:val="en-GB"/>
        </w:rPr>
        <w:t>1381</w:t>
      </w:r>
      <w:r w:rsidRPr="0074120F">
        <w:rPr>
          <w:rFonts w:ascii="Calibri" w:eastAsia="Calibri" w:hAnsi="Calibri" w:cs="Calibri"/>
          <w:sz w:val="22"/>
          <w:szCs w:val="22"/>
          <w:lang w:val="en-GB"/>
        </w:rPr>
        <w:t>‐</w:t>
      </w:r>
      <w:r w:rsidRPr="0074120F">
        <w:rPr>
          <w:rFonts w:ascii="Arial" w:hAnsi="Arial" w:cs="Arial"/>
          <w:sz w:val="22"/>
          <w:szCs w:val="22"/>
          <w:lang w:val="en-GB"/>
        </w:rPr>
        <w:t>1391.</w:t>
      </w:r>
    </w:p>
    <w:p w14:paraId="7274C0D8" w14:textId="77777777" w:rsidR="00F70B18" w:rsidRPr="00C62ABF" w:rsidRDefault="00F70B18" w:rsidP="005D4D88">
      <w:pPr>
        <w:rPr>
          <w:rFonts w:ascii="Arial" w:hAnsi="Arial" w:cs="Arial"/>
          <w:sz w:val="22"/>
          <w:szCs w:val="22"/>
          <w:lang w:val="en-GB"/>
        </w:rPr>
      </w:pPr>
    </w:p>
    <w:p w14:paraId="309E9820" w14:textId="502A9292" w:rsidR="00F70B18" w:rsidRPr="0074120F" w:rsidRDefault="00F70B18" w:rsidP="005D4D88">
      <w:pPr>
        <w:rPr>
          <w:rFonts w:ascii="Arial" w:hAnsi="Arial" w:cs="Arial"/>
          <w:sz w:val="22"/>
          <w:szCs w:val="22"/>
          <w:lang w:val="en-GB"/>
        </w:rPr>
      </w:pPr>
      <w:r w:rsidRPr="0074120F">
        <w:rPr>
          <w:rFonts w:ascii="Arial" w:hAnsi="Arial" w:cs="Arial"/>
          <w:sz w:val="22"/>
          <w:szCs w:val="22"/>
          <w:lang w:val="en-GB"/>
        </w:rPr>
        <w:t xml:space="preserve">Kellum JA, Lameire N, KDIGO </w:t>
      </w:r>
      <w:r w:rsidR="004D4FF9" w:rsidRPr="0074120F">
        <w:rPr>
          <w:rFonts w:ascii="Arial" w:hAnsi="Arial" w:cs="Arial"/>
          <w:sz w:val="22"/>
          <w:szCs w:val="22"/>
          <w:lang w:val="en-GB"/>
        </w:rPr>
        <w:t>AKI</w:t>
      </w:r>
      <w:r w:rsidRPr="0074120F">
        <w:rPr>
          <w:rFonts w:ascii="Arial" w:hAnsi="Arial" w:cs="Arial"/>
          <w:sz w:val="22"/>
          <w:szCs w:val="22"/>
          <w:lang w:val="en-GB"/>
        </w:rPr>
        <w:t xml:space="preserve"> Guideline Work Group. Diagnosis, evaluation, and management of acute kidney injury: a KDIGO summary (Part 1). Crit Care. 2013;</w:t>
      </w:r>
      <w:r w:rsidR="008621D6" w:rsidRPr="0074120F">
        <w:rPr>
          <w:rFonts w:ascii="Arial" w:hAnsi="Arial" w:cs="Arial"/>
          <w:sz w:val="22"/>
          <w:szCs w:val="22"/>
          <w:lang w:val="en-GB"/>
        </w:rPr>
        <w:t xml:space="preserve"> </w:t>
      </w:r>
      <w:r w:rsidRPr="0074120F">
        <w:rPr>
          <w:rFonts w:ascii="Arial" w:hAnsi="Arial" w:cs="Arial"/>
          <w:sz w:val="22"/>
          <w:szCs w:val="22"/>
          <w:lang w:val="en-GB"/>
        </w:rPr>
        <w:t>17:</w:t>
      </w:r>
      <w:r w:rsidR="008621D6" w:rsidRPr="0074120F">
        <w:rPr>
          <w:rFonts w:ascii="Arial" w:hAnsi="Arial" w:cs="Arial"/>
          <w:sz w:val="22"/>
          <w:szCs w:val="22"/>
          <w:lang w:val="en-GB"/>
        </w:rPr>
        <w:t xml:space="preserve"> </w:t>
      </w:r>
      <w:r w:rsidRPr="0074120F">
        <w:rPr>
          <w:rFonts w:ascii="Arial" w:hAnsi="Arial" w:cs="Arial"/>
          <w:sz w:val="22"/>
          <w:szCs w:val="22"/>
          <w:lang w:val="en-GB"/>
        </w:rPr>
        <w:t>204.</w:t>
      </w:r>
    </w:p>
    <w:p w14:paraId="2B93F164" w14:textId="77777777" w:rsidR="00BA1C87" w:rsidRPr="0074120F" w:rsidRDefault="00BA1C87" w:rsidP="005D4D88">
      <w:pPr>
        <w:rPr>
          <w:rFonts w:ascii="Arial" w:hAnsi="Arial" w:cs="Arial"/>
          <w:sz w:val="22"/>
          <w:szCs w:val="22"/>
          <w:lang w:val="en-GB"/>
        </w:rPr>
      </w:pPr>
    </w:p>
    <w:p w14:paraId="65A05E38" w14:textId="7F34BF2E" w:rsidR="00BA1C87" w:rsidRPr="00890DEA" w:rsidRDefault="00BA1C87" w:rsidP="005D4D88">
      <w:pPr>
        <w:rPr>
          <w:rFonts w:ascii="Arial" w:hAnsi="Arial" w:cs="Arial"/>
          <w:sz w:val="22"/>
          <w:szCs w:val="22"/>
          <w:lang w:val="en-US"/>
        </w:rPr>
      </w:pPr>
      <w:r w:rsidRPr="0074120F">
        <w:rPr>
          <w:rFonts w:ascii="Arial" w:hAnsi="Arial" w:cs="Arial"/>
          <w:sz w:val="22"/>
          <w:szCs w:val="22"/>
          <w:lang w:val="en-GB"/>
        </w:rPr>
        <w:t xml:space="preserve">Lehmann EL. Nonparametrics: Statistical Methods Based on Ranks, Revised. </w:t>
      </w:r>
      <w:r w:rsidRPr="00890DEA">
        <w:rPr>
          <w:rFonts w:ascii="Arial" w:hAnsi="Arial" w:cs="Arial"/>
          <w:sz w:val="22"/>
          <w:szCs w:val="22"/>
          <w:lang w:val="en-US"/>
        </w:rPr>
        <w:t xml:space="preserve">1998. </w:t>
      </w:r>
      <w:r w:rsidR="008621D6" w:rsidRPr="00890DEA">
        <w:rPr>
          <w:rFonts w:ascii="Arial" w:hAnsi="Arial" w:cs="Arial"/>
          <w:sz w:val="22"/>
          <w:szCs w:val="22"/>
          <w:lang w:val="en-US"/>
        </w:rPr>
        <w:t>p.</w:t>
      </w:r>
      <w:r w:rsidRPr="00890DEA">
        <w:rPr>
          <w:rFonts w:ascii="Arial" w:hAnsi="Arial" w:cs="Arial"/>
          <w:sz w:val="22"/>
          <w:szCs w:val="22"/>
          <w:lang w:val="en-US"/>
        </w:rPr>
        <w:t xml:space="preserve">76–81 </w:t>
      </w:r>
    </w:p>
    <w:p w14:paraId="0417184E" w14:textId="77777777" w:rsidR="00F70B18" w:rsidRPr="00890DEA" w:rsidRDefault="00F70B18" w:rsidP="005D4D88">
      <w:pPr>
        <w:rPr>
          <w:rFonts w:ascii="Arial" w:hAnsi="Arial" w:cs="Arial"/>
          <w:sz w:val="22"/>
          <w:szCs w:val="22"/>
          <w:lang w:val="en-US"/>
        </w:rPr>
      </w:pPr>
    </w:p>
    <w:p w14:paraId="1866932A" w14:textId="259733E9" w:rsidR="00B82347" w:rsidRPr="00C62ABF" w:rsidRDefault="0064006E" w:rsidP="005D4D88">
      <w:pPr>
        <w:rPr>
          <w:rFonts w:ascii="Arial" w:hAnsi="Arial" w:cs="Arial"/>
          <w:sz w:val="22"/>
          <w:szCs w:val="22"/>
          <w:lang w:val="en-US"/>
        </w:rPr>
      </w:pPr>
      <w:r w:rsidRPr="0074120F">
        <w:rPr>
          <w:rFonts w:ascii="Arial" w:hAnsi="Arial" w:cs="Arial"/>
          <w:sz w:val="22"/>
          <w:szCs w:val="22"/>
          <w:lang w:val="da-DK"/>
        </w:rPr>
        <w:t xml:space="preserve">Lindén-Søndersø, A., Jungner, M., Spångfors, M. et al. </w:t>
      </w:r>
      <w:r w:rsidRPr="0074120F">
        <w:rPr>
          <w:rFonts w:ascii="Arial" w:hAnsi="Arial" w:cs="Arial"/>
          <w:sz w:val="22"/>
          <w:szCs w:val="22"/>
          <w:lang w:val="en-GB"/>
        </w:rPr>
        <w:t>Survey of non-resuscitation fluids administered during septic shock: a multicenter prospective observational study. Ann. Intensive Care</w:t>
      </w:r>
      <w:r w:rsidR="008621D6" w:rsidRPr="00890DEA">
        <w:rPr>
          <w:rFonts w:ascii="Arial" w:hAnsi="Arial" w:cs="Arial"/>
          <w:sz w:val="22"/>
          <w:szCs w:val="22"/>
          <w:lang w:val="en-US"/>
        </w:rPr>
        <w:t xml:space="preserve">. </w:t>
      </w:r>
      <w:r w:rsidR="008621D6" w:rsidRPr="00C62ABF">
        <w:rPr>
          <w:rFonts w:ascii="Arial" w:hAnsi="Arial" w:cs="Arial"/>
          <w:sz w:val="22"/>
          <w:szCs w:val="22"/>
          <w:lang w:val="en-US"/>
        </w:rPr>
        <w:t xml:space="preserve">2019; 9 </w:t>
      </w:r>
      <w:r w:rsidR="008621D6" w:rsidRPr="00890DEA">
        <w:rPr>
          <w:rFonts w:ascii="Arial" w:hAnsi="Arial" w:cs="Arial"/>
          <w:sz w:val="22"/>
          <w:szCs w:val="22"/>
          <w:lang w:val="en-US"/>
        </w:rPr>
        <w:t>:</w:t>
      </w:r>
      <w:r w:rsidR="00C62ABF">
        <w:rPr>
          <w:rFonts w:ascii="Arial" w:hAnsi="Arial" w:cs="Arial"/>
          <w:sz w:val="22"/>
          <w:szCs w:val="22"/>
          <w:lang w:val="en-US"/>
        </w:rPr>
        <w:t xml:space="preserve"> </w:t>
      </w:r>
      <w:r w:rsidR="008621D6" w:rsidRPr="00890DEA">
        <w:rPr>
          <w:rFonts w:ascii="Arial" w:hAnsi="Arial" w:cs="Arial"/>
          <w:sz w:val="22"/>
          <w:szCs w:val="22"/>
          <w:lang w:val="en-US"/>
        </w:rPr>
        <w:t>132.</w:t>
      </w:r>
    </w:p>
    <w:p w14:paraId="55773093" w14:textId="77777777" w:rsidR="00B82347" w:rsidRPr="00C62ABF" w:rsidRDefault="00B82347" w:rsidP="005D4D88">
      <w:pPr>
        <w:rPr>
          <w:rFonts w:ascii="Arial" w:hAnsi="Arial" w:cs="Arial"/>
          <w:sz w:val="22"/>
          <w:szCs w:val="22"/>
          <w:lang w:val="en-US"/>
        </w:rPr>
      </w:pPr>
    </w:p>
    <w:p w14:paraId="71C10F60" w14:textId="4AB740C4" w:rsidR="00B82347" w:rsidRPr="00890DEA" w:rsidRDefault="00B82347" w:rsidP="00B82347">
      <w:pPr>
        <w:rPr>
          <w:rFonts w:ascii="Arial" w:hAnsi="Arial" w:cs="Arial"/>
          <w:sz w:val="22"/>
          <w:szCs w:val="22"/>
          <w:lang w:val="en-GB"/>
        </w:rPr>
      </w:pPr>
      <w:r w:rsidRPr="00890DEA">
        <w:rPr>
          <w:rFonts w:ascii="Arial" w:hAnsi="Arial" w:cs="Arial"/>
          <w:sz w:val="22"/>
          <w:szCs w:val="22"/>
        </w:rPr>
        <w:t>Lindén A, Fischer J Lilja G</w:t>
      </w:r>
      <w:r w:rsidRPr="00890DEA">
        <w:rPr>
          <w:rFonts w:ascii="Arial" w:hAnsi="Arial" w:cs="Arial"/>
          <w:sz w:val="22"/>
          <w:szCs w:val="22"/>
          <w:vertAlign w:val="superscript"/>
        </w:rPr>
        <w:t xml:space="preserve"> </w:t>
      </w:r>
      <w:r w:rsidRPr="00890DEA">
        <w:rPr>
          <w:rFonts w:ascii="Arial" w:hAnsi="Arial" w:cs="Arial"/>
          <w:sz w:val="22"/>
          <w:szCs w:val="22"/>
        </w:rPr>
        <w:t xml:space="preserve">et al. </w:t>
      </w:r>
      <w:r w:rsidRPr="00890DEA">
        <w:rPr>
          <w:rFonts w:ascii="Arial" w:hAnsi="Arial" w:cs="Arial"/>
          <w:sz w:val="22"/>
          <w:szCs w:val="22"/>
          <w:lang w:val="en-GB"/>
        </w:rPr>
        <w:t>Protocolised reduction of non-resuscitation fluids versus usual care in septic shock patients (REDUSE): a protocol for a multicentre feasibility trial</w:t>
      </w:r>
      <w:r w:rsidRPr="00C62ABF">
        <w:rPr>
          <w:rFonts w:ascii="Arial" w:hAnsi="Arial" w:cs="Arial"/>
          <w:sz w:val="22"/>
          <w:szCs w:val="22"/>
          <w:lang w:val="en-GB"/>
        </w:rPr>
        <w:t xml:space="preserve">. Submitted 2022. </w:t>
      </w:r>
    </w:p>
    <w:p w14:paraId="39B4A403" w14:textId="0BDD7344" w:rsidR="00B82347" w:rsidRPr="00890DEA" w:rsidRDefault="00B82347" w:rsidP="00B82347">
      <w:pPr>
        <w:rPr>
          <w:rFonts w:ascii="Arial" w:hAnsi="Arial" w:cs="Arial"/>
          <w:sz w:val="22"/>
          <w:szCs w:val="22"/>
          <w:lang w:val="en-GB"/>
        </w:rPr>
      </w:pPr>
    </w:p>
    <w:p w14:paraId="788ADCD2" w14:textId="59223983" w:rsidR="008621D6" w:rsidRPr="00C62ABF" w:rsidRDefault="003413DD" w:rsidP="005D4D88">
      <w:pPr>
        <w:rPr>
          <w:rFonts w:ascii="Arial" w:hAnsi="Arial" w:cs="Arial"/>
          <w:sz w:val="22"/>
          <w:szCs w:val="22"/>
          <w:lang w:val="en-GB"/>
        </w:rPr>
      </w:pPr>
      <w:r w:rsidRPr="00C62ABF">
        <w:rPr>
          <w:rFonts w:ascii="Arial" w:hAnsi="Arial" w:cs="Arial"/>
          <w:sz w:val="22"/>
          <w:szCs w:val="22"/>
          <w:lang w:val="en-GB"/>
        </w:rPr>
        <w:t>Marik PE, Linde-Zwirble WT, Bittner EA, Sahatjian J, Hansell D. Fluid administration in severe sepsis and septic shock, patterns and outcomes: an analysis of a large nationa</w:t>
      </w:r>
      <w:r w:rsidRPr="0074120F">
        <w:rPr>
          <w:rFonts w:ascii="Arial" w:hAnsi="Arial" w:cs="Arial"/>
          <w:sz w:val="22"/>
          <w:szCs w:val="22"/>
          <w:lang w:val="en-GB"/>
        </w:rPr>
        <w:t>l databa</w:t>
      </w:r>
      <w:r w:rsidR="006921A9" w:rsidRPr="0074120F">
        <w:rPr>
          <w:rFonts w:ascii="Arial" w:hAnsi="Arial" w:cs="Arial"/>
          <w:sz w:val="22"/>
          <w:szCs w:val="22"/>
          <w:lang w:val="en-GB"/>
        </w:rPr>
        <w:t>se. Intensive Care Med. 2017;</w:t>
      </w:r>
      <w:r w:rsidR="008621D6" w:rsidRPr="0074120F">
        <w:rPr>
          <w:rFonts w:ascii="Arial" w:hAnsi="Arial" w:cs="Arial"/>
          <w:sz w:val="22"/>
          <w:szCs w:val="22"/>
          <w:lang w:val="en-GB"/>
        </w:rPr>
        <w:t xml:space="preserve"> </w:t>
      </w:r>
      <w:r w:rsidR="006921A9" w:rsidRPr="0074120F">
        <w:rPr>
          <w:rFonts w:ascii="Arial" w:hAnsi="Arial" w:cs="Arial"/>
          <w:sz w:val="22"/>
          <w:szCs w:val="22"/>
          <w:lang w:val="en-GB"/>
        </w:rPr>
        <w:t>43</w:t>
      </w:r>
      <w:r w:rsidRPr="0074120F">
        <w:rPr>
          <w:rFonts w:ascii="Arial" w:hAnsi="Arial" w:cs="Arial"/>
          <w:sz w:val="22"/>
          <w:szCs w:val="22"/>
          <w:lang w:val="en-GB"/>
        </w:rPr>
        <w:t>:</w:t>
      </w:r>
      <w:r w:rsidR="00C62ABF">
        <w:rPr>
          <w:rFonts w:ascii="Arial" w:hAnsi="Arial" w:cs="Arial"/>
          <w:sz w:val="22"/>
          <w:szCs w:val="22"/>
          <w:lang w:val="en-GB"/>
        </w:rPr>
        <w:t xml:space="preserve"> </w:t>
      </w:r>
      <w:r w:rsidRPr="00C62ABF">
        <w:rPr>
          <w:rFonts w:ascii="Arial" w:hAnsi="Arial" w:cs="Arial"/>
          <w:sz w:val="22"/>
          <w:szCs w:val="22"/>
          <w:lang w:val="en-GB"/>
        </w:rPr>
        <w:t xml:space="preserve">625-632. </w:t>
      </w:r>
    </w:p>
    <w:p w14:paraId="733C8481" w14:textId="77777777" w:rsidR="00B82347" w:rsidRPr="00C62ABF" w:rsidRDefault="00B82347" w:rsidP="005D4D88">
      <w:pPr>
        <w:rPr>
          <w:rFonts w:ascii="Arial" w:hAnsi="Arial" w:cs="Arial"/>
          <w:sz w:val="22"/>
          <w:szCs w:val="22"/>
          <w:lang w:val="en-GB"/>
        </w:rPr>
      </w:pPr>
    </w:p>
    <w:p w14:paraId="721F3428" w14:textId="113C2553" w:rsidR="0086078E" w:rsidRPr="00C62ABF" w:rsidRDefault="0086078E" w:rsidP="005D4D88">
      <w:pPr>
        <w:rPr>
          <w:rFonts w:ascii="Arial" w:eastAsia="Times New Roman" w:hAnsi="Arial" w:cs="Arial"/>
          <w:color w:val="212121"/>
          <w:sz w:val="22"/>
          <w:szCs w:val="22"/>
          <w:shd w:val="clear" w:color="auto" w:fill="FFFFFF"/>
          <w:lang w:val="en-GB" w:eastAsia="sv-SE"/>
        </w:rPr>
      </w:pPr>
      <w:r w:rsidRPr="0074120F">
        <w:rPr>
          <w:rFonts w:ascii="Arial" w:eastAsia="Times New Roman" w:hAnsi="Arial" w:cs="Arial"/>
          <w:color w:val="212121"/>
          <w:sz w:val="22"/>
          <w:szCs w:val="22"/>
          <w:shd w:val="clear" w:color="auto" w:fill="FFFFFF"/>
          <w:lang w:val="en-GB" w:eastAsia="sv-SE"/>
        </w:rPr>
        <w:t>McClure NS, Sayah FA, Ohinmaa A, Johnson JA. Minimally Important Difference of the EQ-5D-5L Index Score in Adults with Type 2 Diabetes. </w:t>
      </w:r>
      <w:r w:rsidRPr="00890DEA">
        <w:rPr>
          <w:rFonts w:ascii="Arial" w:eastAsia="Times New Roman" w:hAnsi="Arial" w:cs="Arial"/>
          <w:iCs/>
          <w:color w:val="212121"/>
          <w:sz w:val="22"/>
          <w:szCs w:val="22"/>
          <w:lang w:val="en-GB" w:eastAsia="sv-SE"/>
        </w:rPr>
        <w:t>Value Health</w:t>
      </w:r>
      <w:r w:rsidRPr="00C62ABF">
        <w:rPr>
          <w:rFonts w:ascii="Arial" w:eastAsia="Times New Roman" w:hAnsi="Arial" w:cs="Arial"/>
          <w:color w:val="212121"/>
          <w:sz w:val="22"/>
          <w:szCs w:val="22"/>
          <w:shd w:val="clear" w:color="auto" w:fill="FFFFFF"/>
          <w:lang w:val="en-GB" w:eastAsia="sv-SE"/>
        </w:rPr>
        <w:t>. 2018;</w:t>
      </w:r>
      <w:r w:rsidR="00C62ABF">
        <w:rPr>
          <w:rFonts w:ascii="Arial" w:eastAsia="Times New Roman" w:hAnsi="Arial" w:cs="Arial"/>
          <w:color w:val="212121"/>
          <w:sz w:val="22"/>
          <w:szCs w:val="22"/>
          <w:shd w:val="clear" w:color="auto" w:fill="FFFFFF"/>
          <w:lang w:val="en-GB" w:eastAsia="sv-SE"/>
        </w:rPr>
        <w:t xml:space="preserve"> </w:t>
      </w:r>
      <w:r w:rsidRPr="00C62ABF">
        <w:rPr>
          <w:rFonts w:ascii="Arial" w:eastAsia="Times New Roman" w:hAnsi="Arial" w:cs="Arial"/>
          <w:color w:val="212121"/>
          <w:sz w:val="22"/>
          <w:szCs w:val="22"/>
          <w:shd w:val="clear" w:color="auto" w:fill="FFFFFF"/>
          <w:lang w:val="en-GB" w:eastAsia="sv-SE"/>
        </w:rPr>
        <w:t>21:</w:t>
      </w:r>
      <w:r w:rsidR="00C62ABF">
        <w:rPr>
          <w:rFonts w:ascii="Arial" w:eastAsia="Times New Roman" w:hAnsi="Arial" w:cs="Arial"/>
          <w:color w:val="212121"/>
          <w:sz w:val="22"/>
          <w:szCs w:val="22"/>
          <w:shd w:val="clear" w:color="auto" w:fill="FFFFFF"/>
          <w:lang w:val="en-GB" w:eastAsia="sv-SE"/>
        </w:rPr>
        <w:t xml:space="preserve"> </w:t>
      </w:r>
      <w:r w:rsidRPr="00C62ABF">
        <w:rPr>
          <w:rFonts w:ascii="Arial" w:eastAsia="Times New Roman" w:hAnsi="Arial" w:cs="Arial"/>
          <w:color w:val="212121"/>
          <w:sz w:val="22"/>
          <w:szCs w:val="22"/>
          <w:shd w:val="clear" w:color="auto" w:fill="FFFFFF"/>
          <w:lang w:val="en-GB" w:eastAsia="sv-SE"/>
        </w:rPr>
        <w:t xml:space="preserve">1090-1097. </w:t>
      </w:r>
    </w:p>
    <w:p w14:paraId="02C6C78F" w14:textId="77777777" w:rsidR="00652290" w:rsidRPr="00C62ABF" w:rsidRDefault="00652290" w:rsidP="005D4D88">
      <w:pPr>
        <w:rPr>
          <w:rFonts w:ascii="Arial" w:hAnsi="Arial" w:cs="Arial"/>
          <w:color w:val="212121"/>
          <w:sz w:val="22"/>
          <w:szCs w:val="22"/>
          <w:shd w:val="clear" w:color="auto" w:fill="FFFFFF"/>
          <w:lang w:val="en-GB"/>
        </w:rPr>
      </w:pPr>
    </w:p>
    <w:p w14:paraId="1EE26502" w14:textId="3C76052C" w:rsidR="00652290" w:rsidRPr="0074120F" w:rsidRDefault="00652290" w:rsidP="005D4D88">
      <w:pPr>
        <w:rPr>
          <w:rFonts w:ascii="Arial" w:hAnsi="Arial" w:cs="Arial"/>
          <w:color w:val="212121"/>
          <w:sz w:val="22"/>
          <w:szCs w:val="22"/>
          <w:shd w:val="clear" w:color="auto" w:fill="FFFFFF"/>
          <w:lang w:val="en-GB"/>
        </w:rPr>
      </w:pPr>
      <w:r w:rsidRPr="0074120F">
        <w:rPr>
          <w:rFonts w:ascii="Arial" w:hAnsi="Arial" w:cs="Arial"/>
          <w:color w:val="212121"/>
          <w:sz w:val="22"/>
          <w:szCs w:val="22"/>
          <w:shd w:val="clear" w:color="auto" w:fill="FFFFFF"/>
        </w:rPr>
        <w:t xml:space="preserve">Meyhoff TS, Hjortrup PB, Wetterslev J, et al. </w:t>
      </w:r>
      <w:r w:rsidRPr="0074120F">
        <w:rPr>
          <w:rFonts w:ascii="Arial" w:hAnsi="Arial" w:cs="Arial"/>
          <w:color w:val="212121"/>
          <w:sz w:val="22"/>
          <w:szCs w:val="22"/>
          <w:shd w:val="clear" w:color="auto" w:fill="FFFFFF"/>
          <w:lang w:val="en-GB"/>
        </w:rPr>
        <w:t>Restriction of intravenous fluid in ICU patients with septic shock. N Engl J Med 2022;</w:t>
      </w:r>
      <w:r w:rsidR="008621D6" w:rsidRPr="0074120F">
        <w:rPr>
          <w:rFonts w:ascii="Arial" w:hAnsi="Arial" w:cs="Arial"/>
          <w:color w:val="212121"/>
          <w:sz w:val="22"/>
          <w:szCs w:val="22"/>
          <w:shd w:val="clear" w:color="auto" w:fill="FFFFFF"/>
          <w:lang w:val="en-GB"/>
        </w:rPr>
        <w:t xml:space="preserve"> </w:t>
      </w:r>
      <w:r w:rsidRPr="0074120F">
        <w:rPr>
          <w:rFonts w:ascii="Arial" w:hAnsi="Arial" w:cs="Arial"/>
          <w:color w:val="212121"/>
          <w:sz w:val="22"/>
          <w:szCs w:val="22"/>
          <w:shd w:val="clear" w:color="auto" w:fill="FFFFFF"/>
          <w:lang w:val="en-GB"/>
        </w:rPr>
        <w:t>386:</w:t>
      </w:r>
      <w:r w:rsidR="008621D6" w:rsidRPr="0074120F">
        <w:rPr>
          <w:rFonts w:ascii="Arial" w:hAnsi="Arial" w:cs="Arial"/>
          <w:color w:val="212121"/>
          <w:sz w:val="22"/>
          <w:szCs w:val="22"/>
          <w:shd w:val="clear" w:color="auto" w:fill="FFFFFF"/>
          <w:lang w:val="en-GB"/>
        </w:rPr>
        <w:t xml:space="preserve"> </w:t>
      </w:r>
      <w:r w:rsidRPr="0074120F">
        <w:rPr>
          <w:rFonts w:ascii="Arial" w:hAnsi="Arial" w:cs="Arial"/>
          <w:color w:val="212121"/>
          <w:sz w:val="22"/>
          <w:szCs w:val="22"/>
          <w:shd w:val="clear" w:color="auto" w:fill="FFFFFF"/>
          <w:lang w:val="en-GB"/>
        </w:rPr>
        <w:t>2459-2470.</w:t>
      </w:r>
    </w:p>
    <w:p w14:paraId="4C9C6656" w14:textId="3B434E78" w:rsidR="00A611D5" w:rsidRPr="0074120F" w:rsidRDefault="00A611D5" w:rsidP="00890DEA">
      <w:pPr>
        <w:shd w:val="clear" w:color="auto" w:fill="FFFFFF"/>
        <w:rPr>
          <w:rFonts w:ascii="Arial" w:hAnsi="Arial" w:cs="Arial"/>
          <w:sz w:val="22"/>
          <w:szCs w:val="22"/>
          <w:lang w:val="en-GB"/>
        </w:rPr>
      </w:pPr>
    </w:p>
    <w:p w14:paraId="20263626" w14:textId="0EA07C35" w:rsidR="00F25F5C" w:rsidRPr="0074120F" w:rsidRDefault="00F25F5C" w:rsidP="005D4D88">
      <w:pPr>
        <w:rPr>
          <w:rFonts w:ascii="Arial" w:hAnsi="Arial" w:cs="Arial"/>
          <w:noProof/>
          <w:sz w:val="22"/>
          <w:szCs w:val="22"/>
          <w:lang w:val="en-GB"/>
        </w:rPr>
      </w:pPr>
      <w:r w:rsidRPr="0074120F">
        <w:rPr>
          <w:rFonts w:ascii="Arial" w:hAnsi="Arial" w:cs="Arial"/>
          <w:noProof/>
          <w:sz w:val="22"/>
          <w:szCs w:val="22"/>
          <w:lang w:val="en-GB"/>
        </w:rPr>
        <w:t>Nasreddine ZS, Phillips NA, Bedirian V</w:t>
      </w:r>
      <w:r w:rsidR="003852C7" w:rsidRPr="0074120F">
        <w:rPr>
          <w:rFonts w:ascii="Arial" w:hAnsi="Arial" w:cs="Arial"/>
          <w:noProof/>
          <w:sz w:val="22"/>
          <w:szCs w:val="22"/>
          <w:lang w:val="en-GB"/>
        </w:rPr>
        <w:t xml:space="preserve"> </w:t>
      </w:r>
      <w:r w:rsidRPr="0074120F">
        <w:rPr>
          <w:rFonts w:ascii="Arial" w:hAnsi="Arial" w:cs="Arial"/>
          <w:noProof/>
          <w:sz w:val="22"/>
          <w:szCs w:val="22"/>
          <w:lang w:val="en-GB"/>
        </w:rPr>
        <w:t xml:space="preserve"> et al. The Montreal Cognitive Assessment, MoCA: a brief screening tool for mild cognitive impairment. J Am Geriatr Soc. 2005;</w:t>
      </w:r>
      <w:r w:rsidR="008621D6" w:rsidRPr="0074120F">
        <w:rPr>
          <w:rFonts w:ascii="Arial" w:hAnsi="Arial" w:cs="Arial"/>
          <w:noProof/>
          <w:sz w:val="22"/>
          <w:szCs w:val="22"/>
          <w:lang w:val="en-GB"/>
        </w:rPr>
        <w:t xml:space="preserve"> </w:t>
      </w:r>
      <w:r w:rsidRPr="0074120F">
        <w:rPr>
          <w:rFonts w:ascii="Arial" w:hAnsi="Arial" w:cs="Arial"/>
          <w:noProof/>
          <w:sz w:val="22"/>
          <w:szCs w:val="22"/>
          <w:lang w:val="en-GB"/>
        </w:rPr>
        <w:t>53:</w:t>
      </w:r>
      <w:r w:rsidR="008621D6" w:rsidRPr="0074120F">
        <w:rPr>
          <w:rFonts w:ascii="Arial" w:hAnsi="Arial" w:cs="Arial"/>
          <w:noProof/>
          <w:sz w:val="22"/>
          <w:szCs w:val="22"/>
          <w:lang w:val="en-GB"/>
        </w:rPr>
        <w:t xml:space="preserve"> </w:t>
      </w:r>
      <w:r w:rsidRPr="0074120F">
        <w:rPr>
          <w:rFonts w:ascii="Arial" w:hAnsi="Arial" w:cs="Arial"/>
          <w:noProof/>
          <w:sz w:val="22"/>
          <w:szCs w:val="22"/>
          <w:lang w:val="en-GB"/>
        </w:rPr>
        <w:t>695-9.</w:t>
      </w:r>
    </w:p>
    <w:p w14:paraId="6E03C063" w14:textId="77777777" w:rsidR="00F25F5C" w:rsidRPr="0074120F" w:rsidRDefault="00F25F5C" w:rsidP="005D4D88">
      <w:pPr>
        <w:rPr>
          <w:rFonts w:ascii="Arial" w:hAnsi="Arial" w:cs="Arial"/>
          <w:sz w:val="22"/>
          <w:szCs w:val="22"/>
          <w:lang w:val="en-GB"/>
        </w:rPr>
      </w:pPr>
    </w:p>
    <w:p w14:paraId="41F2C2C3" w14:textId="4A4E12BA" w:rsidR="00652BBA" w:rsidRPr="0074120F" w:rsidRDefault="00A611D5" w:rsidP="005D4D88">
      <w:pPr>
        <w:rPr>
          <w:rFonts w:ascii="Arial" w:hAnsi="Arial" w:cs="Arial"/>
          <w:sz w:val="22"/>
          <w:szCs w:val="22"/>
          <w:lang w:val="en-GB"/>
        </w:rPr>
      </w:pPr>
      <w:r w:rsidRPr="0074120F">
        <w:rPr>
          <w:rFonts w:ascii="Arial" w:hAnsi="Arial" w:cs="Arial"/>
          <w:sz w:val="22"/>
          <w:szCs w:val="22"/>
          <w:lang w:val="en-GB"/>
        </w:rPr>
        <w:t>Nørskov AK, Lange T, Nielsen EE, et al Assessment of assumptions of statistical analysis methods in randomised clinical trials: the what and how</w:t>
      </w:r>
      <w:r w:rsidR="00817FA8" w:rsidRPr="0074120F">
        <w:rPr>
          <w:rFonts w:ascii="Arial" w:hAnsi="Arial" w:cs="Arial"/>
          <w:sz w:val="22"/>
          <w:szCs w:val="22"/>
          <w:lang w:val="en-GB"/>
        </w:rPr>
        <w:t xml:space="preserve"> </w:t>
      </w:r>
      <w:r w:rsidRPr="0074120F">
        <w:rPr>
          <w:rFonts w:ascii="Arial" w:hAnsi="Arial" w:cs="Arial"/>
          <w:sz w:val="22"/>
          <w:szCs w:val="22"/>
          <w:lang w:val="en-GB"/>
        </w:rPr>
        <w:t>BMJ Evidence-Based Medicine 2021;</w:t>
      </w:r>
      <w:r w:rsidR="008621D6" w:rsidRPr="0074120F">
        <w:rPr>
          <w:rFonts w:ascii="Arial" w:hAnsi="Arial" w:cs="Arial"/>
          <w:sz w:val="22"/>
          <w:szCs w:val="22"/>
          <w:lang w:val="en-GB"/>
        </w:rPr>
        <w:t xml:space="preserve"> </w:t>
      </w:r>
      <w:r w:rsidRPr="0074120F">
        <w:rPr>
          <w:rFonts w:ascii="Arial" w:hAnsi="Arial" w:cs="Arial"/>
          <w:sz w:val="22"/>
          <w:szCs w:val="22"/>
          <w:lang w:val="en-GB"/>
        </w:rPr>
        <w:t>26:</w:t>
      </w:r>
      <w:r w:rsidR="008621D6" w:rsidRPr="0074120F">
        <w:rPr>
          <w:rFonts w:ascii="Arial" w:hAnsi="Arial" w:cs="Arial"/>
          <w:sz w:val="22"/>
          <w:szCs w:val="22"/>
          <w:lang w:val="en-GB"/>
        </w:rPr>
        <w:t xml:space="preserve"> </w:t>
      </w:r>
      <w:r w:rsidRPr="0074120F">
        <w:rPr>
          <w:rFonts w:ascii="Arial" w:hAnsi="Arial" w:cs="Arial"/>
          <w:sz w:val="22"/>
          <w:szCs w:val="22"/>
          <w:lang w:val="en-GB"/>
        </w:rPr>
        <w:t>121-126.</w:t>
      </w:r>
    </w:p>
    <w:p w14:paraId="44920842" w14:textId="77777777" w:rsidR="003852C7" w:rsidRPr="0074120F" w:rsidRDefault="003852C7" w:rsidP="005D4D88">
      <w:pPr>
        <w:rPr>
          <w:rFonts w:ascii="Arial" w:hAnsi="Arial" w:cs="Arial"/>
          <w:sz w:val="22"/>
          <w:szCs w:val="22"/>
          <w:lang w:val="en-GB"/>
        </w:rPr>
      </w:pPr>
    </w:p>
    <w:p w14:paraId="1F058482" w14:textId="19B1088B" w:rsidR="0086078E" w:rsidRPr="0074120F" w:rsidRDefault="0086078E" w:rsidP="005D4D88">
      <w:pPr>
        <w:rPr>
          <w:rFonts w:ascii="Arial" w:hAnsi="Arial" w:cs="Arial"/>
          <w:sz w:val="22"/>
          <w:szCs w:val="22"/>
          <w:lang w:val="en-GB"/>
        </w:rPr>
      </w:pPr>
      <w:r w:rsidRPr="0074120F">
        <w:rPr>
          <w:rFonts w:ascii="Arial" w:hAnsi="Arial" w:cs="Arial"/>
          <w:sz w:val="22"/>
          <w:szCs w:val="22"/>
          <w:lang w:val="da-DK"/>
        </w:rPr>
        <w:lastRenderedPageBreak/>
        <w:t xml:space="preserve">Payen D, de Pont AC, Sakr Y et al. </w:t>
      </w:r>
      <w:r w:rsidRPr="0074120F">
        <w:rPr>
          <w:rFonts w:ascii="Arial" w:hAnsi="Arial" w:cs="Arial"/>
          <w:sz w:val="22"/>
          <w:szCs w:val="22"/>
          <w:lang w:val="en-GB"/>
        </w:rPr>
        <w:t>A positive fluid balance is associated with a worse outcome in patients with acute renal failure. Crit Care. 2008; 12:</w:t>
      </w:r>
      <w:r w:rsidR="008621D6" w:rsidRPr="0074120F">
        <w:rPr>
          <w:rFonts w:ascii="Arial" w:hAnsi="Arial" w:cs="Arial"/>
          <w:sz w:val="22"/>
          <w:szCs w:val="22"/>
          <w:lang w:val="en-GB"/>
        </w:rPr>
        <w:t xml:space="preserve"> </w:t>
      </w:r>
      <w:r w:rsidRPr="0074120F">
        <w:rPr>
          <w:rFonts w:ascii="Arial" w:hAnsi="Arial" w:cs="Arial"/>
          <w:sz w:val="22"/>
          <w:szCs w:val="22"/>
          <w:lang w:val="en-GB"/>
        </w:rPr>
        <w:t xml:space="preserve">R74. </w:t>
      </w:r>
    </w:p>
    <w:p w14:paraId="0CD5DC26" w14:textId="77777777" w:rsidR="00207ABD" w:rsidRPr="00DF3EFF" w:rsidRDefault="00207ABD" w:rsidP="005D4D88">
      <w:pPr>
        <w:rPr>
          <w:rFonts w:ascii="Arial" w:hAnsi="Arial" w:cs="Arial"/>
          <w:sz w:val="22"/>
          <w:szCs w:val="22"/>
          <w:lang w:val="en-GB"/>
        </w:rPr>
      </w:pPr>
    </w:p>
    <w:p w14:paraId="4A2DA564" w14:textId="7A8AFFB6" w:rsidR="00207ABD" w:rsidRPr="0074120F" w:rsidRDefault="00207ABD" w:rsidP="005D4D88">
      <w:pPr>
        <w:rPr>
          <w:rFonts w:ascii="Arial" w:hAnsi="Arial" w:cs="Arial"/>
          <w:sz w:val="22"/>
          <w:szCs w:val="22"/>
          <w:lang w:val="en-GB"/>
        </w:rPr>
      </w:pPr>
      <w:r w:rsidRPr="00C62ABF">
        <w:rPr>
          <w:rFonts w:ascii="Arial" w:hAnsi="Arial" w:cs="Arial"/>
          <w:sz w:val="22"/>
          <w:szCs w:val="22"/>
          <w:lang w:val="en-GB"/>
        </w:rPr>
        <w:t>Perner A, Haase N, Guttormsen AB, et al. Hydroxyethyl starch 130/0.42 versus ringer’s acetate in severe sepsis. N Engl J Med. 2012;</w:t>
      </w:r>
      <w:r w:rsidR="008621D6" w:rsidRPr="0074120F">
        <w:rPr>
          <w:rFonts w:ascii="Arial" w:hAnsi="Arial" w:cs="Arial"/>
          <w:sz w:val="22"/>
          <w:szCs w:val="22"/>
          <w:lang w:val="en-GB"/>
        </w:rPr>
        <w:t xml:space="preserve"> </w:t>
      </w:r>
      <w:r w:rsidRPr="0074120F">
        <w:rPr>
          <w:rFonts w:ascii="Arial" w:hAnsi="Arial" w:cs="Arial"/>
          <w:sz w:val="22"/>
          <w:szCs w:val="22"/>
          <w:lang w:val="en-GB"/>
        </w:rPr>
        <w:t>367:</w:t>
      </w:r>
      <w:r w:rsidR="008621D6" w:rsidRPr="0074120F">
        <w:rPr>
          <w:rFonts w:ascii="Arial" w:hAnsi="Arial" w:cs="Arial"/>
          <w:sz w:val="22"/>
          <w:szCs w:val="22"/>
          <w:lang w:val="en-GB"/>
        </w:rPr>
        <w:t xml:space="preserve"> </w:t>
      </w:r>
      <w:r w:rsidRPr="0074120F">
        <w:rPr>
          <w:rFonts w:ascii="Arial" w:hAnsi="Arial" w:cs="Arial"/>
          <w:sz w:val="22"/>
          <w:szCs w:val="22"/>
          <w:lang w:val="en-GB"/>
        </w:rPr>
        <w:t>124</w:t>
      </w:r>
      <w:r w:rsidRPr="0074120F">
        <w:rPr>
          <w:rFonts w:ascii="Calibri" w:eastAsia="Calibri" w:hAnsi="Calibri" w:cs="Calibri"/>
          <w:sz w:val="22"/>
          <w:szCs w:val="22"/>
          <w:lang w:val="en-GB"/>
        </w:rPr>
        <w:t>‐</w:t>
      </w:r>
      <w:r w:rsidRPr="0074120F">
        <w:rPr>
          <w:rFonts w:ascii="Arial" w:hAnsi="Arial" w:cs="Arial"/>
          <w:sz w:val="22"/>
          <w:szCs w:val="22"/>
          <w:lang w:val="en-GB"/>
        </w:rPr>
        <w:t>134.</w:t>
      </w:r>
    </w:p>
    <w:p w14:paraId="036B65D1" w14:textId="77777777" w:rsidR="00207ABD" w:rsidRPr="0074120F" w:rsidRDefault="00207ABD" w:rsidP="005D4D88">
      <w:pPr>
        <w:rPr>
          <w:rFonts w:ascii="Arial" w:hAnsi="Arial" w:cs="Arial"/>
          <w:sz w:val="22"/>
          <w:szCs w:val="22"/>
          <w:lang w:val="en-GB"/>
        </w:rPr>
      </w:pPr>
    </w:p>
    <w:p w14:paraId="0685D662" w14:textId="7BF2BA18" w:rsidR="00A52662" w:rsidRPr="0074120F" w:rsidRDefault="00A52662" w:rsidP="005D4D88">
      <w:pPr>
        <w:rPr>
          <w:rFonts w:ascii="Arial" w:eastAsia="Times New Roman" w:hAnsi="Arial" w:cs="Arial"/>
          <w:sz w:val="22"/>
          <w:szCs w:val="22"/>
          <w:lang w:val="en-GB" w:eastAsia="sv-SE"/>
        </w:rPr>
      </w:pPr>
      <w:r w:rsidRPr="0074120F">
        <w:rPr>
          <w:rFonts w:ascii="Arial" w:eastAsia="Times New Roman" w:hAnsi="Arial" w:cs="Arial"/>
          <w:sz w:val="22"/>
          <w:szCs w:val="22"/>
          <w:lang w:val="en-GB" w:eastAsia="sv-SE"/>
        </w:rPr>
        <w:t>Poukkanen M, Vaara ST, Pettilä V</w:t>
      </w:r>
      <w:r w:rsidR="003852C7" w:rsidRPr="0074120F">
        <w:rPr>
          <w:rFonts w:ascii="Arial" w:eastAsia="Times New Roman" w:hAnsi="Arial" w:cs="Arial"/>
          <w:sz w:val="22"/>
          <w:szCs w:val="22"/>
          <w:lang w:val="en-GB" w:eastAsia="sv-SE"/>
        </w:rPr>
        <w:t xml:space="preserve"> et al.</w:t>
      </w:r>
      <w:r w:rsidRPr="0074120F">
        <w:rPr>
          <w:rFonts w:ascii="Arial" w:eastAsia="Times New Roman" w:hAnsi="Arial" w:cs="Arial"/>
          <w:sz w:val="22"/>
          <w:szCs w:val="22"/>
          <w:lang w:val="en-GB" w:eastAsia="sv-SE"/>
        </w:rPr>
        <w:t>Acute kidney injury in patients with severe sepsis in Finnish Intensive Care Units. Acta Anaesthesiol Scand. 2013;</w:t>
      </w:r>
      <w:r w:rsidR="008621D6" w:rsidRPr="0074120F">
        <w:rPr>
          <w:rFonts w:ascii="Arial" w:eastAsia="Times New Roman" w:hAnsi="Arial" w:cs="Arial"/>
          <w:sz w:val="22"/>
          <w:szCs w:val="22"/>
          <w:lang w:val="en-GB" w:eastAsia="sv-SE"/>
        </w:rPr>
        <w:t xml:space="preserve"> </w:t>
      </w:r>
      <w:r w:rsidRPr="0074120F">
        <w:rPr>
          <w:rFonts w:ascii="Arial" w:eastAsia="Times New Roman" w:hAnsi="Arial" w:cs="Arial"/>
          <w:sz w:val="22"/>
          <w:szCs w:val="22"/>
          <w:lang w:val="en-GB" w:eastAsia="sv-SE"/>
        </w:rPr>
        <w:t>57:</w:t>
      </w:r>
      <w:r w:rsidR="008621D6" w:rsidRPr="0074120F">
        <w:rPr>
          <w:rFonts w:ascii="Arial" w:eastAsia="Times New Roman" w:hAnsi="Arial" w:cs="Arial"/>
          <w:sz w:val="22"/>
          <w:szCs w:val="22"/>
          <w:lang w:val="en-GB" w:eastAsia="sv-SE"/>
        </w:rPr>
        <w:t xml:space="preserve"> </w:t>
      </w:r>
      <w:r w:rsidRPr="0074120F">
        <w:rPr>
          <w:rFonts w:ascii="Arial" w:eastAsia="Times New Roman" w:hAnsi="Arial" w:cs="Arial"/>
          <w:sz w:val="22"/>
          <w:szCs w:val="22"/>
          <w:lang w:val="en-GB" w:eastAsia="sv-SE"/>
        </w:rPr>
        <w:t xml:space="preserve">863-72. </w:t>
      </w:r>
    </w:p>
    <w:p w14:paraId="303D1BCA" w14:textId="77777777" w:rsidR="0086078E" w:rsidRPr="0074120F" w:rsidRDefault="0086078E" w:rsidP="005D4D88">
      <w:pPr>
        <w:rPr>
          <w:rFonts w:ascii="Arial" w:hAnsi="Arial" w:cs="Arial"/>
          <w:sz w:val="22"/>
          <w:szCs w:val="22"/>
          <w:lang w:val="en-GB"/>
        </w:rPr>
      </w:pPr>
    </w:p>
    <w:p w14:paraId="02AAF53A" w14:textId="792051C8" w:rsidR="00207ABD" w:rsidRPr="0074120F" w:rsidRDefault="006B5B47" w:rsidP="005D4D88">
      <w:pPr>
        <w:rPr>
          <w:rFonts w:ascii="Arial" w:hAnsi="Arial" w:cs="Arial"/>
          <w:sz w:val="22"/>
          <w:szCs w:val="22"/>
          <w:lang w:val="en-GB"/>
        </w:rPr>
      </w:pPr>
      <w:r w:rsidRPr="0074120F">
        <w:rPr>
          <w:rFonts w:ascii="Arial" w:hAnsi="Arial" w:cs="Arial"/>
          <w:sz w:val="22"/>
          <w:szCs w:val="22"/>
          <w:lang w:val="da-DK"/>
        </w:rPr>
        <w:t xml:space="preserve">Sakr Y, Rubatto Birri PN et al. </w:t>
      </w:r>
      <w:r w:rsidRPr="0074120F">
        <w:rPr>
          <w:rFonts w:ascii="Arial" w:hAnsi="Arial" w:cs="Arial"/>
          <w:sz w:val="22"/>
          <w:szCs w:val="22"/>
          <w:lang w:val="en-GB"/>
        </w:rPr>
        <w:t>Higher fluid balance increases the risk of death from sepsis: results from a large international audit. Crit Care Med. 2017;</w:t>
      </w:r>
      <w:r w:rsidR="008621D6" w:rsidRPr="0074120F">
        <w:rPr>
          <w:rFonts w:ascii="Arial" w:hAnsi="Arial" w:cs="Arial"/>
          <w:sz w:val="22"/>
          <w:szCs w:val="22"/>
          <w:lang w:val="en-GB"/>
        </w:rPr>
        <w:t xml:space="preserve"> </w:t>
      </w:r>
      <w:r w:rsidRPr="0074120F">
        <w:rPr>
          <w:rFonts w:ascii="Arial" w:hAnsi="Arial" w:cs="Arial"/>
          <w:sz w:val="22"/>
          <w:szCs w:val="22"/>
          <w:lang w:val="en-GB"/>
        </w:rPr>
        <w:t>45:</w:t>
      </w:r>
      <w:r w:rsidR="008621D6" w:rsidRPr="0074120F">
        <w:rPr>
          <w:rFonts w:ascii="Arial" w:hAnsi="Arial" w:cs="Arial"/>
          <w:sz w:val="22"/>
          <w:szCs w:val="22"/>
          <w:lang w:val="en-GB"/>
        </w:rPr>
        <w:t xml:space="preserve"> </w:t>
      </w:r>
      <w:r w:rsidRPr="0074120F">
        <w:rPr>
          <w:rFonts w:ascii="Arial" w:hAnsi="Arial" w:cs="Arial"/>
          <w:sz w:val="22"/>
          <w:szCs w:val="22"/>
          <w:lang w:val="en-GB"/>
        </w:rPr>
        <w:t>386–94.</w:t>
      </w:r>
    </w:p>
    <w:p w14:paraId="2278965B" w14:textId="77777777" w:rsidR="00A41E11" w:rsidRPr="0074120F" w:rsidRDefault="00A41E11" w:rsidP="005D4D88">
      <w:pPr>
        <w:rPr>
          <w:rFonts w:ascii="Arial" w:hAnsi="Arial" w:cs="Arial"/>
          <w:sz w:val="22"/>
          <w:szCs w:val="22"/>
          <w:lang w:val="en-GB"/>
        </w:rPr>
      </w:pPr>
    </w:p>
    <w:p w14:paraId="712C6B8E" w14:textId="77777777" w:rsidR="00D14724" w:rsidRPr="0074120F" w:rsidRDefault="00D14724" w:rsidP="005D4D88">
      <w:pPr>
        <w:rPr>
          <w:rFonts w:ascii="Arial" w:hAnsi="Arial" w:cs="Arial"/>
          <w:sz w:val="22"/>
          <w:szCs w:val="22"/>
          <w:lang w:val="en-GB"/>
        </w:rPr>
      </w:pPr>
      <w:r w:rsidRPr="0074120F">
        <w:rPr>
          <w:rFonts w:ascii="Arial" w:hAnsi="Arial" w:cs="Arial"/>
          <w:sz w:val="22"/>
          <w:szCs w:val="22"/>
          <w:lang w:val="en-GB"/>
        </w:rPr>
        <w:t>Shankar-Hari M, Phillips GS, Levy ML et al (2016) Developing a new definition and assessing new clinical criteria for septic shock: for the Third International Consensus Definitions for Sepsis and Septic Shock (Sepsis-3). JAMA 315:775–787.</w:t>
      </w:r>
    </w:p>
    <w:p w14:paraId="4AA05477" w14:textId="77777777" w:rsidR="00046982" w:rsidRPr="0074120F" w:rsidRDefault="00046982" w:rsidP="005D4D88">
      <w:pPr>
        <w:rPr>
          <w:rFonts w:ascii="Arial" w:hAnsi="Arial" w:cs="Arial"/>
          <w:sz w:val="22"/>
          <w:szCs w:val="22"/>
          <w:lang w:val="en-GB"/>
        </w:rPr>
      </w:pPr>
    </w:p>
    <w:p w14:paraId="783FDE53" w14:textId="5BA62CDE" w:rsidR="0025455F" w:rsidRPr="0074120F" w:rsidRDefault="0025455F" w:rsidP="005D4D88">
      <w:pPr>
        <w:rPr>
          <w:rFonts w:ascii="Arial" w:hAnsi="Arial" w:cs="Arial"/>
          <w:sz w:val="22"/>
          <w:szCs w:val="22"/>
          <w:lang w:val="en-GB"/>
        </w:rPr>
      </w:pPr>
      <w:r w:rsidRPr="0074120F">
        <w:rPr>
          <w:rFonts w:ascii="Arial" w:hAnsi="Arial" w:cs="Arial"/>
          <w:sz w:val="22"/>
          <w:szCs w:val="22"/>
          <w:lang w:val="en-GB"/>
        </w:rPr>
        <w:t>Silversides JA, Fitzgerald E, Manickavasagam US et al. Deresuscitation of patients with iatrogenic fluid overload is associated with reduced mortality in critical illness. Crit Care Med. 2018; 46:</w:t>
      </w:r>
      <w:r w:rsidR="008621D6" w:rsidRPr="0074120F">
        <w:rPr>
          <w:rFonts w:ascii="Arial" w:hAnsi="Arial" w:cs="Arial"/>
          <w:sz w:val="22"/>
          <w:szCs w:val="22"/>
          <w:lang w:val="en-GB"/>
        </w:rPr>
        <w:t xml:space="preserve"> </w:t>
      </w:r>
      <w:r w:rsidRPr="0074120F">
        <w:rPr>
          <w:rFonts w:ascii="Arial" w:hAnsi="Arial" w:cs="Arial"/>
          <w:sz w:val="22"/>
          <w:szCs w:val="22"/>
          <w:lang w:val="en-GB"/>
        </w:rPr>
        <w:t>1600-1607.</w:t>
      </w:r>
    </w:p>
    <w:p w14:paraId="6DC9F81A" w14:textId="77777777" w:rsidR="0025455F" w:rsidRPr="0074120F" w:rsidRDefault="0025455F" w:rsidP="005D4D88">
      <w:pPr>
        <w:rPr>
          <w:rFonts w:ascii="Arial" w:hAnsi="Arial" w:cs="Arial"/>
          <w:sz w:val="22"/>
          <w:szCs w:val="22"/>
          <w:lang w:val="en-GB"/>
        </w:rPr>
      </w:pPr>
    </w:p>
    <w:p w14:paraId="67466153" w14:textId="01F726C6" w:rsidR="00046982" w:rsidRPr="0074120F" w:rsidRDefault="00307AC9" w:rsidP="005D4D88">
      <w:pPr>
        <w:rPr>
          <w:rFonts w:ascii="Arial" w:hAnsi="Arial" w:cs="Arial"/>
          <w:sz w:val="22"/>
          <w:szCs w:val="22"/>
          <w:lang w:val="en-GB"/>
        </w:rPr>
      </w:pPr>
      <w:r w:rsidRPr="0074120F">
        <w:rPr>
          <w:rFonts w:ascii="Arial" w:hAnsi="Arial" w:cs="Arial"/>
          <w:sz w:val="22"/>
          <w:szCs w:val="22"/>
          <w:lang w:val="en-GB"/>
        </w:rPr>
        <w:t>Singer M, Deutschman CS, Seymour CW, et al. The Third International Consensus Definitions for Sepsis and Septic Shock (Sepsis-3). JAMA. 2016;</w:t>
      </w:r>
      <w:r w:rsidR="008621D6" w:rsidRPr="0074120F">
        <w:rPr>
          <w:rFonts w:ascii="Arial" w:hAnsi="Arial" w:cs="Arial"/>
          <w:sz w:val="22"/>
          <w:szCs w:val="22"/>
          <w:lang w:val="en-GB"/>
        </w:rPr>
        <w:t xml:space="preserve"> </w:t>
      </w:r>
      <w:r w:rsidRPr="0074120F">
        <w:rPr>
          <w:rFonts w:ascii="Arial" w:hAnsi="Arial" w:cs="Arial"/>
          <w:sz w:val="22"/>
          <w:szCs w:val="22"/>
          <w:lang w:val="en-GB"/>
        </w:rPr>
        <w:t>315:</w:t>
      </w:r>
      <w:r w:rsidR="008621D6" w:rsidRPr="0074120F">
        <w:rPr>
          <w:rFonts w:ascii="Arial" w:hAnsi="Arial" w:cs="Arial"/>
          <w:sz w:val="22"/>
          <w:szCs w:val="22"/>
          <w:lang w:val="en-GB"/>
        </w:rPr>
        <w:t xml:space="preserve"> </w:t>
      </w:r>
      <w:r w:rsidRPr="0074120F">
        <w:rPr>
          <w:rFonts w:ascii="Arial" w:hAnsi="Arial" w:cs="Arial"/>
          <w:sz w:val="22"/>
          <w:szCs w:val="22"/>
          <w:lang w:val="en-GB"/>
        </w:rPr>
        <w:t xml:space="preserve">801–810. </w:t>
      </w:r>
    </w:p>
    <w:p w14:paraId="68720FD9" w14:textId="5F9FCEDC" w:rsidR="00E2097C" w:rsidRPr="0074120F" w:rsidRDefault="00E2097C" w:rsidP="005D4D88">
      <w:pPr>
        <w:rPr>
          <w:rFonts w:ascii="Arial" w:hAnsi="Arial" w:cs="Arial"/>
          <w:sz w:val="22"/>
          <w:szCs w:val="22"/>
          <w:lang w:val="en-GB"/>
        </w:rPr>
      </w:pPr>
    </w:p>
    <w:p w14:paraId="661B0BD3" w14:textId="019723E5" w:rsidR="00F25F5C" w:rsidRPr="0074120F" w:rsidRDefault="00F25F5C" w:rsidP="005D4D88">
      <w:pPr>
        <w:rPr>
          <w:rFonts w:ascii="Arial" w:hAnsi="Arial" w:cs="Arial"/>
          <w:noProof/>
          <w:sz w:val="22"/>
          <w:szCs w:val="22"/>
          <w:lang w:val="da-DK"/>
        </w:rPr>
      </w:pPr>
      <w:r w:rsidRPr="0074120F">
        <w:rPr>
          <w:rFonts w:ascii="Arial" w:hAnsi="Arial" w:cs="Arial"/>
          <w:noProof/>
          <w:sz w:val="22"/>
          <w:szCs w:val="22"/>
          <w:lang w:val="en-GB"/>
        </w:rPr>
        <w:t xml:space="preserve">Wilson JT, Pettigrew LE, Teasdale GM. Structured interviews for the Glasgow Outcome Scale and the extended Glasgow Outcome Scale: guidelines for their use. </w:t>
      </w:r>
      <w:r w:rsidRPr="0074120F">
        <w:rPr>
          <w:rFonts w:ascii="Arial" w:hAnsi="Arial" w:cs="Arial"/>
          <w:noProof/>
          <w:sz w:val="22"/>
          <w:szCs w:val="22"/>
          <w:lang w:val="da-DK"/>
        </w:rPr>
        <w:t>J Neurotrauma. 1998;</w:t>
      </w:r>
      <w:r w:rsidR="008621D6" w:rsidRPr="0074120F">
        <w:rPr>
          <w:rFonts w:ascii="Arial" w:hAnsi="Arial" w:cs="Arial"/>
          <w:noProof/>
          <w:sz w:val="22"/>
          <w:szCs w:val="22"/>
          <w:lang w:val="da-DK"/>
        </w:rPr>
        <w:t xml:space="preserve"> </w:t>
      </w:r>
      <w:r w:rsidRPr="0074120F">
        <w:rPr>
          <w:rFonts w:ascii="Arial" w:hAnsi="Arial" w:cs="Arial"/>
          <w:noProof/>
          <w:sz w:val="22"/>
          <w:szCs w:val="22"/>
          <w:lang w:val="da-DK"/>
        </w:rPr>
        <w:t>15:</w:t>
      </w:r>
      <w:r w:rsidR="008621D6" w:rsidRPr="0074120F">
        <w:rPr>
          <w:rFonts w:ascii="Arial" w:hAnsi="Arial" w:cs="Arial"/>
          <w:noProof/>
          <w:sz w:val="22"/>
          <w:szCs w:val="22"/>
          <w:lang w:val="da-DK"/>
        </w:rPr>
        <w:t xml:space="preserve"> </w:t>
      </w:r>
      <w:r w:rsidRPr="0074120F">
        <w:rPr>
          <w:rFonts w:ascii="Arial" w:hAnsi="Arial" w:cs="Arial"/>
          <w:noProof/>
          <w:sz w:val="22"/>
          <w:szCs w:val="22"/>
          <w:lang w:val="da-DK"/>
        </w:rPr>
        <w:t>573-85.</w:t>
      </w:r>
    </w:p>
    <w:p w14:paraId="36A19D7B" w14:textId="77777777" w:rsidR="00F25F5C" w:rsidRPr="0074120F" w:rsidRDefault="00F25F5C" w:rsidP="005D4D88">
      <w:pPr>
        <w:pStyle w:val="EndNoteBibliography"/>
        <w:rPr>
          <w:rFonts w:ascii="Arial" w:hAnsi="Arial" w:cs="Arial"/>
          <w:noProof/>
          <w:color w:val="auto"/>
          <w:sz w:val="22"/>
          <w:szCs w:val="22"/>
          <w:lang w:val="da-DK"/>
        </w:rPr>
      </w:pPr>
    </w:p>
    <w:p w14:paraId="71234CE0" w14:textId="1E48B0E2" w:rsidR="00F25F5C" w:rsidRPr="0074120F" w:rsidRDefault="00F25F5C" w:rsidP="005D4D88">
      <w:pPr>
        <w:pStyle w:val="EndNoteBibliography"/>
        <w:rPr>
          <w:rFonts w:ascii="Arial" w:hAnsi="Arial" w:cs="Arial"/>
          <w:noProof/>
          <w:color w:val="auto"/>
          <w:sz w:val="22"/>
          <w:szCs w:val="22"/>
          <w:lang w:val="fi-FI"/>
        </w:rPr>
      </w:pPr>
      <w:r w:rsidRPr="0074120F">
        <w:rPr>
          <w:rFonts w:ascii="Arial" w:hAnsi="Arial" w:cs="Arial"/>
          <w:noProof/>
          <w:color w:val="auto"/>
          <w:sz w:val="22"/>
          <w:szCs w:val="22"/>
          <w:lang w:val="da-DK"/>
        </w:rPr>
        <w:t xml:space="preserve">Wilson L, Boase K, Nelson LD, et al. </w:t>
      </w:r>
      <w:r w:rsidRPr="0074120F">
        <w:rPr>
          <w:rFonts w:ascii="Arial" w:hAnsi="Arial" w:cs="Arial"/>
          <w:noProof/>
          <w:color w:val="auto"/>
          <w:sz w:val="22"/>
          <w:szCs w:val="22"/>
          <w:lang w:val="en-GB"/>
        </w:rPr>
        <w:t xml:space="preserve">A Manual for the Glasgow Outcome Scale-Extended Interview. </w:t>
      </w:r>
      <w:r w:rsidRPr="0074120F">
        <w:rPr>
          <w:rFonts w:ascii="Arial" w:hAnsi="Arial" w:cs="Arial"/>
          <w:noProof/>
          <w:color w:val="auto"/>
          <w:sz w:val="22"/>
          <w:szCs w:val="22"/>
          <w:lang w:val="fi-FI"/>
        </w:rPr>
        <w:t>J Neurotrauma. 2021;38:2435-46.</w:t>
      </w:r>
    </w:p>
    <w:p w14:paraId="51CA9D52" w14:textId="69C2C0DC" w:rsidR="0058685B" w:rsidRPr="002C5826" w:rsidRDefault="0058685B" w:rsidP="005D4D88">
      <w:pPr>
        <w:pStyle w:val="Listeafsnit"/>
        <w:rPr>
          <w:lang w:val="fi-FI"/>
        </w:rPr>
      </w:pPr>
    </w:p>
    <w:p w14:paraId="6F6D992D" w14:textId="51EADAF3" w:rsidR="003852C7" w:rsidRPr="002C5826" w:rsidRDefault="003852C7" w:rsidP="005D4D88">
      <w:pPr>
        <w:pStyle w:val="Listeafsnit"/>
        <w:rPr>
          <w:lang w:val="fi-FI"/>
        </w:rPr>
      </w:pPr>
    </w:p>
    <w:p w14:paraId="39DE71B2" w14:textId="50092546" w:rsidR="003852C7" w:rsidRPr="002C5826" w:rsidRDefault="003852C7" w:rsidP="005D4D88">
      <w:pPr>
        <w:pStyle w:val="Listeafsnit"/>
        <w:rPr>
          <w:lang w:val="fi-FI"/>
        </w:rPr>
      </w:pPr>
    </w:p>
    <w:p w14:paraId="09E7D144" w14:textId="239EF7C3" w:rsidR="003852C7" w:rsidRPr="002C5826" w:rsidRDefault="003852C7" w:rsidP="005D4D88">
      <w:pPr>
        <w:pStyle w:val="Listeafsnit"/>
        <w:rPr>
          <w:lang w:val="fi-FI"/>
        </w:rPr>
      </w:pPr>
    </w:p>
    <w:p w14:paraId="2493C6CA" w14:textId="46FE374E" w:rsidR="003852C7" w:rsidRPr="002C5826" w:rsidRDefault="003852C7" w:rsidP="005D4D88">
      <w:pPr>
        <w:pStyle w:val="Listeafsnit"/>
        <w:rPr>
          <w:lang w:val="fi-FI"/>
        </w:rPr>
      </w:pPr>
    </w:p>
    <w:p w14:paraId="219C8361" w14:textId="49274925" w:rsidR="003852C7" w:rsidRPr="002C5826" w:rsidRDefault="003852C7" w:rsidP="005D4D88">
      <w:pPr>
        <w:pStyle w:val="Listeafsnit"/>
        <w:rPr>
          <w:lang w:val="fi-FI"/>
        </w:rPr>
      </w:pPr>
    </w:p>
    <w:p w14:paraId="032DFA3F" w14:textId="0BC5A44C" w:rsidR="003852C7" w:rsidRPr="002C5826" w:rsidRDefault="003852C7" w:rsidP="005D4D88">
      <w:pPr>
        <w:pStyle w:val="Listeafsnit"/>
        <w:rPr>
          <w:lang w:val="fi-FI"/>
        </w:rPr>
      </w:pPr>
    </w:p>
    <w:p w14:paraId="383CB188" w14:textId="3864EF3F" w:rsidR="003852C7" w:rsidRPr="002C5826" w:rsidRDefault="003852C7" w:rsidP="005D4D88">
      <w:pPr>
        <w:pStyle w:val="Listeafsnit"/>
        <w:rPr>
          <w:lang w:val="fi-FI"/>
        </w:rPr>
      </w:pPr>
    </w:p>
    <w:p w14:paraId="133B25F9" w14:textId="6EDC6B46" w:rsidR="003852C7" w:rsidRPr="002C5826" w:rsidRDefault="003852C7" w:rsidP="005D4D88">
      <w:pPr>
        <w:pStyle w:val="Listeafsnit"/>
        <w:rPr>
          <w:lang w:val="fi-FI"/>
        </w:rPr>
      </w:pPr>
    </w:p>
    <w:p w14:paraId="190C4E40" w14:textId="5A4BD951" w:rsidR="005503B2" w:rsidRPr="002C5826" w:rsidRDefault="005503B2" w:rsidP="005D4D88">
      <w:pPr>
        <w:pStyle w:val="Listeafsnit"/>
        <w:rPr>
          <w:lang w:val="fi-FI"/>
        </w:rPr>
      </w:pPr>
    </w:p>
    <w:p w14:paraId="2ADCD3C4" w14:textId="6CCAC2F6" w:rsidR="005503B2" w:rsidRPr="002C5826" w:rsidRDefault="005503B2" w:rsidP="005D4D88">
      <w:pPr>
        <w:pStyle w:val="Listeafsnit"/>
        <w:rPr>
          <w:lang w:val="fi-FI"/>
        </w:rPr>
      </w:pPr>
    </w:p>
    <w:p w14:paraId="39A657CC" w14:textId="77777777" w:rsidR="005503B2" w:rsidRPr="002C5826" w:rsidRDefault="005503B2" w:rsidP="005D4D88">
      <w:pPr>
        <w:pStyle w:val="Listeafsnit"/>
        <w:rPr>
          <w:lang w:val="fi-FI"/>
        </w:rPr>
      </w:pPr>
    </w:p>
    <w:p w14:paraId="58BAB2F7" w14:textId="27DD29B8" w:rsidR="005A0A1D" w:rsidRPr="002C5826" w:rsidRDefault="00785CEE" w:rsidP="00397F52">
      <w:pPr>
        <w:rPr>
          <w:rFonts w:eastAsiaTheme="majorEastAsia" w:cs="Times New Roman"/>
          <w:b/>
          <w:sz w:val="32"/>
          <w:lang w:val="fi-FI"/>
        </w:rPr>
      </w:pPr>
      <w:r w:rsidRPr="002C5826">
        <w:rPr>
          <w:b/>
          <w:bCs/>
          <w:lang w:val="fi-FI"/>
        </w:rPr>
        <w:br w:type="page"/>
      </w:r>
      <w:bookmarkStart w:id="23" w:name="_Toc104540105"/>
    </w:p>
    <w:p w14:paraId="5714E219" w14:textId="701D1357" w:rsidR="00757CC5" w:rsidRPr="00DF3EFF" w:rsidRDefault="005A0A1D" w:rsidP="00225D0F">
      <w:pPr>
        <w:pStyle w:val="Overskrift1"/>
      </w:pPr>
      <w:r w:rsidRPr="00DF3EFF">
        <w:lastRenderedPageBreak/>
        <w:t>Table 1 - O</w:t>
      </w:r>
      <w:r w:rsidR="00404AC7" w:rsidRPr="00DF3EFF">
        <w:t>utcomes</w:t>
      </w:r>
      <w:bookmarkEnd w:id="23"/>
    </w:p>
    <w:tbl>
      <w:tblPr>
        <w:tblStyle w:val="Tabel-Gitter"/>
        <w:tblW w:w="0" w:type="auto"/>
        <w:tblInd w:w="-147" w:type="dxa"/>
        <w:tblLook w:val="04A0" w:firstRow="1" w:lastRow="0" w:firstColumn="1" w:lastColumn="0" w:noHBand="0" w:noVBand="1"/>
      </w:tblPr>
      <w:tblGrid>
        <w:gridCol w:w="1793"/>
        <w:gridCol w:w="7408"/>
      </w:tblGrid>
      <w:tr w:rsidR="00EA63F2" w:rsidRPr="00EB2848" w14:paraId="64344275" w14:textId="77777777" w:rsidTr="005A0A1D">
        <w:tc>
          <w:tcPr>
            <w:tcW w:w="0" w:type="auto"/>
            <w:tcBorders>
              <w:bottom w:val="single" w:sz="4" w:space="0" w:color="auto"/>
            </w:tcBorders>
          </w:tcPr>
          <w:p w14:paraId="4D6EB162" w14:textId="4AA8FF37" w:rsidR="00EA63F2" w:rsidRPr="00DF3EFF" w:rsidRDefault="00EA63F2" w:rsidP="006370F2">
            <w:pPr>
              <w:spacing w:line="240" w:lineRule="auto"/>
              <w:rPr>
                <w:b/>
                <w:bCs/>
                <w:sz w:val="22"/>
                <w:szCs w:val="22"/>
                <w:lang w:val="en-GB"/>
              </w:rPr>
            </w:pPr>
            <w:r w:rsidRPr="00DF3EFF">
              <w:rPr>
                <w:b/>
                <w:bCs/>
                <w:sz w:val="22"/>
                <w:szCs w:val="22"/>
                <w:lang w:val="en-GB"/>
              </w:rPr>
              <w:t>Primary feasibility</w:t>
            </w:r>
            <w:r w:rsidR="005A0A1D" w:rsidRPr="00DF3EFF">
              <w:rPr>
                <w:b/>
                <w:bCs/>
                <w:sz w:val="22"/>
                <w:szCs w:val="22"/>
                <w:lang w:val="en-GB"/>
              </w:rPr>
              <w:t xml:space="preserve"> </w:t>
            </w:r>
            <w:r w:rsidRPr="00DF3EFF">
              <w:rPr>
                <w:b/>
                <w:bCs/>
                <w:sz w:val="22"/>
                <w:szCs w:val="22"/>
                <w:lang w:val="en-GB"/>
              </w:rPr>
              <w:t>outcome</w:t>
            </w:r>
          </w:p>
        </w:tc>
        <w:tc>
          <w:tcPr>
            <w:tcW w:w="0" w:type="auto"/>
          </w:tcPr>
          <w:p w14:paraId="2A97DEC2" w14:textId="77777777" w:rsidR="00EA63F2" w:rsidRPr="00DF3EFF" w:rsidRDefault="00EA63F2" w:rsidP="006370F2">
            <w:pPr>
              <w:spacing w:line="240" w:lineRule="auto"/>
              <w:rPr>
                <w:i/>
                <w:iCs/>
                <w:sz w:val="22"/>
                <w:szCs w:val="22"/>
                <w:lang w:val="en-GB"/>
              </w:rPr>
            </w:pPr>
            <w:r w:rsidRPr="00DF3EFF">
              <w:rPr>
                <w:i/>
                <w:iCs/>
                <w:sz w:val="22"/>
                <w:szCs w:val="22"/>
                <w:lang w:val="en-GB"/>
              </w:rPr>
              <w:t>Litres of fluids administered within three days of randomisation.</w:t>
            </w:r>
          </w:p>
          <w:p w14:paraId="1F49905F" w14:textId="77777777" w:rsidR="00EA63F2" w:rsidRPr="00DF3EFF" w:rsidRDefault="00EA63F2" w:rsidP="006370F2">
            <w:pPr>
              <w:spacing w:line="240" w:lineRule="auto"/>
              <w:rPr>
                <w:i/>
                <w:iCs/>
                <w:sz w:val="22"/>
                <w:szCs w:val="22"/>
                <w:lang w:val="en-GB"/>
              </w:rPr>
            </w:pPr>
          </w:p>
        </w:tc>
      </w:tr>
      <w:tr w:rsidR="00EA63F2" w:rsidRPr="00EB2848" w14:paraId="238D7A3C" w14:textId="77777777" w:rsidTr="005A0A1D">
        <w:tc>
          <w:tcPr>
            <w:tcW w:w="0" w:type="auto"/>
            <w:vMerge w:val="restart"/>
          </w:tcPr>
          <w:p w14:paraId="43E67A50" w14:textId="6ACE6B10" w:rsidR="00EA63F2" w:rsidRPr="00DF3EFF" w:rsidRDefault="00EA63F2" w:rsidP="006370F2">
            <w:pPr>
              <w:spacing w:line="240" w:lineRule="auto"/>
              <w:rPr>
                <w:b/>
                <w:bCs/>
                <w:sz w:val="22"/>
                <w:szCs w:val="22"/>
                <w:lang w:val="en-GB"/>
              </w:rPr>
            </w:pPr>
            <w:r w:rsidRPr="00DF3EFF">
              <w:rPr>
                <w:b/>
                <w:bCs/>
                <w:sz w:val="22"/>
                <w:szCs w:val="22"/>
                <w:lang w:val="en-GB"/>
              </w:rPr>
              <w:t>Secondary</w:t>
            </w:r>
            <w:r w:rsidR="005A0A1D" w:rsidRPr="00DF3EFF">
              <w:rPr>
                <w:b/>
                <w:bCs/>
                <w:sz w:val="22"/>
                <w:szCs w:val="22"/>
                <w:lang w:val="en-GB"/>
              </w:rPr>
              <w:t xml:space="preserve"> </w:t>
            </w:r>
            <w:r w:rsidRPr="00DF3EFF">
              <w:rPr>
                <w:b/>
                <w:bCs/>
                <w:sz w:val="22"/>
                <w:szCs w:val="22"/>
                <w:lang w:val="en-GB"/>
              </w:rPr>
              <w:t>feasibility</w:t>
            </w:r>
            <w:r w:rsidR="005A0A1D" w:rsidRPr="00DF3EFF">
              <w:rPr>
                <w:b/>
                <w:bCs/>
                <w:sz w:val="22"/>
                <w:szCs w:val="22"/>
                <w:lang w:val="en-GB"/>
              </w:rPr>
              <w:t xml:space="preserve"> </w:t>
            </w:r>
            <w:r w:rsidRPr="00DF3EFF">
              <w:rPr>
                <w:b/>
                <w:bCs/>
                <w:sz w:val="22"/>
                <w:szCs w:val="22"/>
                <w:lang w:val="en-GB"/>
              </w:rPr>
              <w:t>outcomes</w:t>
            </w:r>
          </w:p>
        </w:tc>
        <w:tc>
          <w:tcPr>
            <w:tcW w:w="0" w:type="auto"/>
          </w:tcPr>
          <w:p w14:paraId="7BEF39E8" w14:textId="77777777" w:rsidR="00EA63F2" w:rsidRPr="00DF3EFF" w:rsidRDefault="00EA63F2" w:rsidP="006370F2">
            <w:pPr>
              <w:spacing w:line="240" w:lineRule="auto"/>
              <w:rPr>
                <w:i/>
                <w:iCs/>
                <w:sz w:val="22"/>
                <w:szCs w:val="22"/>
                <w:lang w:val="en-GB"/>
              </w:rPr>
            </w:pPr>
            <w:r w:rsidRPr="00DF3EFF">
              <w:rPr>
                <w:i/>
                <w:iCs/>
                <w:sz w:val="22"/>
                <w:szCs w:val="22"/>
                <w:lang w:val="en-GB"/>
              </w:rPr>
              <w:t>Fraction of randomised patients with sufficient clinical outcome data. These include all-cause mortality, days alive and free of mechanical ventilation, acute kidney injury, and ischemic events in the ICU (cerebral, cardiac, intestinal or limb ischemia) within 90 days of inclusion.</w:t>
            </w:r>
          </w:p>
        </w:tc>
      </w:tr>
      <w:tr w:rsidR="00EA63F2" w:rsidRPr="00EB2848" w14:paraId="0F4F06F2" w14:textId="77777777" w:rsidTr="005A0A1D">
        <w:trPr>
          <w:trHeight w:val="292"/>
        </w:trPr>
        <w:tc>
          <w:tcPr>
            <w:tcW w:w="0" w:type="auto"/>
            <w:vMerge/>
          </w:tcPr>
          <w:p w14:paraId="05971A81" w14:textId="77777777" w:rsidR="00EA63F2" w:rsidRPr="00DF3EFF" w:rsidRDefault="00EA63F2" w:rsidP="006370F2">
            <w:pPr>
              <w:spacing w:line="240" w:lineRule="auto"/>
              <w:rPr>
                <w:b/>
                <w:bCs/>
                <w:sz w:val="22"/>
                <w:szCs w:val="22"/>
                <w:lang w:val="en-GB"/>
              </w:rPr>
            </w:pPr>
          </w:p>
        </w:tc>
        <w:tc>
          <w:tcPr>
            <w:tcW w:w="0" w:type="auto"/>
          </w:tcPr>
          <w:p w14:paraId="10E07E04" w14:textId="67D3380E" w:rsidR="00EA63F2" w:rsidRPr="00DF3EFF" w:rsidRDefault="00EA63F2" w:rsidP="006370F2">
            <w:pPr>
              <w:spacing w:line="240" w:lineRule="auto"/>
              <w:rPr>
                <w:i/>
                <w:iCs/>
                <w:sz w:val="22"/>
                <w:szCs w:val="22"/>
                <w:lang w:val="en-GB"/>
              </w:rPr>
            </w:pPr>
            <w:r w:rsidRPr="00DF3EFF">
              <w:rPr>
                <w:i/>
                <w:iCs/>
                <w:sz w:val="22"/>
                <w:szCs w:val="22"/>
                <w:lang w:val="en-GB"/>
              </w:rPr>
              <w:t xml:space="preserve">Fraction of surviving randomized patients who were assessed by </w:t>
            </w:r>
            <w:r w:rsidRPr="00DF3EFF">
              <w:rPr>
                <w:rFonts w:cs="Times New Roman"/>
                <w:i/>
                <w:iCs/>
                <w:color w:val="000000" w:themeColor="text1"/>
                <w:sz w:val="22"/>
                <w:szCs w:val="22"/>
                <w:lang w:val="en-GB"/>
              </w:rPr>
              <w:t>Euro</w:t>
            </w:r>
            <w:r w:rsidR="00471FB5">
              <w:rPr>
                <w:rFonts w:cs="Times New Roman"/>
                <w:i/>
                <w:iCs/>
                <w:color w:val="000000" w:themeColor="text1"/>
                <w:sz w:val="22"/>
                <w:szCs w:val="22"/>
                <w:lang w:val="en-GB"/>
              </w:rPr>
              <w:t>QoL</w:t>
            </w:r>
            <w:r w:rsidRPr="00DF3EFF">
              <w:rPr>
                <w:rFonts w:cs="Times New Roman"/>
                <w:i/>
                <w:iCs/>
                <w:color w:val="000000" w:themeColor="text1"/>
                <w:sz w:val="22"/>
                <w:szCs w:val="22"/>
                <w:lang w:val="en-GB"/>
              </w:rPr>
              <w:t>-5</w:t>
            </w:r>
            <w:r w:rsidR="00471FB5">
              <w:rPr>
                <w:rFonts w:cs="Times New Roman"/>
                <w:i/>
                <w:iCs/>
                <w:color w:val="000000" w:themeColor="text1"/>
                <w:sz w:val="22"/>
                <w:szCs w:val="22"/>
                <w:lang w:val="en-GB"/>
              </w:rPr>
              <w:t>-</w:t>
            </w:r>
            <w:r w:rsidRPr="00DF3EFF">
              <w:rPr>
                <w:rFonts w:cs="Times New Roman"/>
                <w:i/>
                <w:iCs/>
                <w:color w:val="000000" w:themeColor="text1"/>
                <w:sz w:val="22"/>
                <w:szCs w:val="22"/>
                <w:lang w:val="en-GB"/>
              </w:rPr>
              <w:t>Dimensions 5- Level questionnaire</w:t>
            </w:r>
            <w:r w:rsidRPr="00DF3EFF">
              <w:rPr>
                <w:i/>
                <w:iCs/>
                <w:sz w:val="22"/>
                <w:szCs w:val="22"/>
                <w:lang w:val="en-GB"/>
              </w:rPr>
              <w:t xml:space="preserve"> (EQ5D-5L) and </w:t>
            </w:r>
            <w:r w:rsidR="00897CF8" w:rsidRPr="00DF3EFF">
              <w:rPr>
                <w:i/>
                <w:iCs/>
                <w:sz w:val="22"/>
                <w:szCs w:val="22"/>
                <w:lang w:val="en-GB"/>
              </w:rPr>
              <w:t>t</w:t>
            </w:r>
            <w:r w:rsidRPr="00DF3EFF">
              <w:rPr>
                <w:i/>
                <w:iCs/>
                <w:sz w:val="22"/>
                <w:szCs w:val="22"/>
                <w:lang w:val="en-GB"/>
              </w:rPr>
              <w:t>he Montreal Cognitive Assessment (MoCA).</w:t>
            </w:r>
          </w:p>
        </w:tc>
      </w:tr>
      <w:tr w:rsidR="00EA63F2" w:rsidRPr="00EB2848" w14:paraId="1BFA69CF" w14:textId="77777777" w:rsidTr="005A0A1D">
        <w:tc>
          <w:tcPr>
            <w:tcW w:w="0" w:type="auto"/>
            <w:vMerge/>
          </w:tcPr>
          <w:p w14:paraId="65CA1AD3" w14:textId="77777777" w:rsidR="00EA63F2" w:rsidRPr="00DF3EFF" w:rsidRDefault="00EA63F2" w:rsidP="006370F2">
            <w:pPr>
              <w:spacing w:line="240" w:lineRule="auto"/>
              <w:rPr>
                <w:b/>
                <w:bCs/>
                <w:sz w:val="22"/>
                <w:szCs w:val="22"/>
                <w:lang w:val="en-GB"/>
              </w:rPr>
            </w:pPr>
          </w:p>
        </w:tc>
        <w:tc>
          <w:tcPr>
            <w:tcW w:w="0" w:type="auto"/>
          </w:tcPr>
          <w:p w14:paraId="1573F13D" w14:textId="77777777" w:rsidR="00EA63F2" w:rsidRPr="00DF3EFF" w:rsidRDefault="00EA63F2" w:rsidP="006370F2">
            <w:pPr>
              <w:spacing w:line="240" w:lineRule="auto"/>
              <w:rPr>
                <w:i/>
                <w:iCs/>
                <w:sz w:val="22"/>
                <w:szCs w:val="22"/>
                <w:lang w:val="en-GB"/>
              </w:rPr>
            </w:pPr>
            <w:r w:rsidRPr="00DF3EFF">
              <w:rPr>
                <w:i/>
                <w:iCs/>
                <w:sz w:val="22"/>
                <w:szCs w:val="22"/>
                <w:lang w:val="en-GB"/>
              </w:rPr>
              <w:t>Fraction of all eligible patients who were randomised and consented</w:t>
            </w:r>
          </w:p>
        </w:tc>
      </w:tr>
      <w:tr w:rsidR="00EA63F2" w:rsidRPr="00EB2848" w14:paraId="7A9B28EC" w14:textId="77777777" w:rsidTr="005A0A1D">
        <w:tc>
          <w:tcPr>
            <w:tcW w:w="0" w:type="auto"/>
            <w:vMerge/>
            <w:tcBorders>
              <w:bottom w:val="single" w:sz="4" w:space="0" w:color="auto"/>
            </w:tcBorders>
          </w:tcPr>
          <w:p w14:paraId="70B9E9F6" w14:textId="77777777" w:rsidR="00EA63F2" w:rsidRPr="00DF3EFF" w:rsidRDefault="00EA63F2" w:rsidP="006370F2">
            <w:pPr>
              <w:spacing w:line="240" w:lineRule="auto"/>
              <w:rPr>
                <w:b/>
                <w:bCs/>
                <w:sz w:val="22"/>
                <w:szCs w:val="22"/>
                <w:lang w:val="en-GB"/>
              </w:rPr>
            </w:pPr>
          </w:p>
        </w:tc>
        <w:tc>
          <w:tcPr>
            <w:tcW w:w="0" w:type="auto"/>
          </w:tcPr>
          <w:p w14:paraId="27517250" w14:textId="77777777" w:rsidR="00EA63F2" w:rsidRPr="00DF3EFF" w:rsidRDefault="00EA63F2" w:rsidP="006370F2">
            <w:pPr>
              <w:spacing w:line="240" w:lineRule="auto"/>
              <w:rPr>
                <w:i/>
                <w:iCs/>
                <w:sz w:val="22"/>
                <w:szCs w:val="22"/>
                <w:lang w:val="en-GB"/>
              </w:rPr>
            </w:pPr>
            <w:r w:rsidRPr="00DF3EFF">
              <w:rPr>
                <w:i/>
                <w:iCs/>
                <w:sz w:val="22"/>
                <w:szCs w:val="22"/>
                <w:lang w:val="en-GB"/>
              </w:rPr>
              <w:t>Fraction of patients experiencing at least one protocol violation</w:t>
            </w:r>
          </w:p>
        </w:tc>
      </w:tr>
      <w:tr w:rsidR="005A0A1D" w:rsidRPr="00EB2848" w14:paraId="38F076F8" w14:textId="77777777" w:rsidTr="005A0A1D">
        <w:trPr>
          <w:trHeight w:val="278"/>
        </w:trPr>
        <w:tc>
          <w:tcPr>
            <w:tcW w:w="0" w:type="auto"/>
            <w:vMerge w:val="restart"/>
          </w:tcPr>
          <w:p w14:paraId="2D7DD8FA" w14:textId="7BB4A28B" w:rsidR="005A0A1D" w:rsidRPr="00DF3EFF" w:rsidRDefault="005A0A1D" w:rsidP="006370F2">
            <w:pPr>
              <w:spacing w:line="240" w:lineRule="auto"/>
              <w:rPr>
                <w:b/>
                <w:bCs/>
                <w:sz w:val="22"/>
                <w:szCs w:val="22"/>
                <w:lang w:val="en-GB"/>
              </w:rPr>
            </w:pPr>
            <w:r w:rsidRPr="00DF3EFF">
              <w:rPr>
                <w:b/>
                <w:bCs/>
                <w:sz w:val="22"/>
                <w:szCs w:val="22"/>
                <w:lang w:val="en-GB"/>
              </w:rPr>
              <w:t>Primary explorative clinical outcomes</w:t>
            </w:r>
          </w:p>
        </w:tc>
        <w:tc>
          <w:tcPr>
            <w:tcW w:w="0" w:type="auto"/>
          </w:tcPr>
          <w:p w14:paraId="4FF9B062" w14:textId="77777777" w:rsidR="005A0A1D" w:rsidRPr="00DF3EFF" w:rsidRDefault="005A0A1D" w:rsidP="006370F2">
            <w:pPr>
              <w:spacing w:line="240" w:lineRule="auto"/>
              <w:rPr>
                <w:i/>
                <w:iCs/>
                <w:sz w:val="22"/>
                <w:szCs w:val="22"/>
                <w:lang w:val="en-GB"/>
              </w:rPr>
            </w:pPr>
            <w:r w:rsidRPr="00DF3EFF">
              <w:rPr>
                <w:i/>
                <w:iCs/>
                <w:sz w:val="22"/>
                <w:szCs w:val="22"/>
                <w:lang w:val="en-GB"/>
              </w:rPr>
              <w:t>All-cause mortality at 90 days after inclusion</w:t>
            </w:r>
          </w:p>
        </w:tc>
      </w:tr>
      <w:tr w:rsidR="005A0A1D" w:rsidRPr="00EB2848" w14:paraId="68C71959" w14:textId="77777777" w:rsidTr="00494FE6">
        <w:tc>
          <w:tcPr>
            <w:tcW w:w="0" w:type="auto"/>
            <w:vMerge/>
          </w:tcPr>
          <w:p w14:paraId="7C10D9FD" w14:textId="77777777" w:rsidR="005A0A1D" w:rsidRPr="00DF3EFF" w:rsidRDefault="005A0A1D" w:rsidP="006370F2">
            <w:pPr>
              <w:spacing w:line="240" w:lineRule="auto"/>
              <w:rPr>
                <w:b/>
                <w:bCs/>
                <w:sz w:val="22"/>
                <w:szCs w:val="22"/>
                <w:lang w:val="en-GB"/>
              </w:rPr>
            </w:pPr>
          </w:p>
        </w:tc>
        <w:tc>
          <w:tcPr>
            <w:tcW w:w="0" w:type="auto"/>
          </w:tcPr>
          <w:p w14:paraId="2D87AD35" w14:textId="77777777" w:rsidR="005A0A1D" w:rsidRPr="00DF3EFF" w:rsidRDefault="005A0A1D" w:rsidP="006370F2">
            <w:pPr>
              <w:spacing w:line="240" w:lineRule="auto"/>
              <w:rPr>
                <w:i/>
                <w:iCs/>
                <w:sz w:val="22"/>
                <w:szCs w:val="22"/>
                <w:lang w:val="en-GB"/>
              </w:rPr>
            </w:pPr>
            <w:r w:rsidRPr="00DF3EFF">
              <w:rPr>
                <w:i/>
                <w:iCs/>
                <w:sz w:val="22"/>
                <w:szCs w:val="22"/>
                <w:lang w:val="en-GB"/>
              </w:rPr>
              <w:t xml:space="preserve">One or more complications in the ICU (dichotomous outcome) (Y/N), if yes, specify: </w:t>
            </w:r>
          </w:p>
          <w:p w14:paraId="490C8C1E" w14:textId="77777777" w:rsidR="005A0A1D" w:rsidRPr="00DF3EFF" w:rsidRDefault="005A0A1D" w:rsidP="004A25B7">
            <w:pPr>
              <w:pStyle w:val="Listeafsnit"/>
              <w:numPr>
                <w:ilvl w:val="0"/>
                <w:numId w:val="7"/>
              </w:numPr>
              <w:spacing w:line="240" w:lineRule="auto"/>
              <w:rPr>
                <w:i/>
                <w:iCs/>
                <w:sz w:val="22"/>
                <w:szCs w:val="22"/>
                <w:lang w:val="en-GB"/>
              </w:rPr>
            </w:pPr>
            <w:r w:rsidRPr="00DF3EFF">
              <w:rPr>
                <w:i/>
                <w:iCs/>
                <w:sz w:val="22"/>
                <w:szCs w:val="22"/>
                <w:lang w:val="en-GB"/>
              </w:rPr>
              <w:t>Cerebral ischemia (on MRI or CT scan) (Y/N)</w:t>
            </w:r>
          </w:p>
          <w:p w14:paraId="016827C7" w14:textId="77777777" w:rsidR="005A0A1D" w:rsidRPr="00DF3EFF" w:rsidRDefault="005A0A1D" w:rsidP="004A25B7">
            <w:pPr>
              <w:pStyle w:val="Listeafsnit"/>
              <w:numPr>
                <w:ilvl w:val="0"/>
                <w:numId w:val="7"/>
              </w:numPr>
              <w:spacing w:line="240" w:lineRule="auto"/>
              <w:rPr>
                <w:i/>
                <w:iCs/>
                <w:sz w:val="22"/>
                <w:szCs w:val="22"/>
                <w:lang w:val="en-GB"/>
              </w:rPr>
            </w:pPr>
            <w:r w:rsidRPr="00DF3EFF">
              <w:rPr>
                <w:i/>
                <w:iCs/>
                <w:sz w:val="22"/>
                <w:szCs w:val="22"/>
                <w:lang w:val="en-GB"/>
              </w:rPr>
              <w:t>Cardiac ischemia [myocardial infarction/unstable angina AND treatment as a consequence; PCI/thrombolysis or initiation/increased antithrombotic treatment] (Y/N)</w:t>
            </w:r>
          </w:p>
          <w:p w14:paraId="13CABEB5" w14:textId="77777777" w:rsidR="005A0A1D" w:rsidRPr="00DF3EFF" w:rsidRDefault="005A0A1D" w:rsidP="004A25B7">
            <w:pPr>
              <w:pStyle w:val="Listeafsnit"/>
              <w:numPr>
                <w:ilvl w:val="0"/>
                <w:numId w:val="7"/>
              </w:numPr>
              <w:spacing w:line="240" w:lineRule="auto"/>
              <w:rPr>
                <w:i/>
                <w:iCs/>
                <w:sz w:val="22"/>
                <w:szCs w:val="22"/>
                <w:lang w:val="en-GB"/>
              </w:rPr>
            </w:pPr>
            <w:r w:rsidRPr="00DF3EFF">
              <w:rPr>
                <w:i/>
                <w:iCs/>
                <w:sz w:val="22"/>
                <w:szCs w:val="22"/>
                <w:lang w:val="en-GB"/>
              </w:rPr>
              <w:t>Intestinal ischemia [diagnosed during surgery or by angiography] (Y/N)</w:t>
            </w:r>
          </w:p>
          <w:p w14:paraId="6402EF2F" w14:textId="77777777" w:rsidR="005A0A1D" w:rsidRPr="00DF3EFF" w:rsidRDefault="005A0A1D" w:rsidP="004A25B7">
            <w:pPr>
              <w:pStyle w:val="Listeafsnit"/>
              <w:numPr>
                <w:ilvl w:val="0"/>
                <w:numId w:val="7"/>
              </w:numPr>
              <w:spacing w:line="240" w:lineRule="auto"/>
              <w:rPr>
                <w:i/>
                <w:iCs/>
                <w:sz w:val="22"/>
                <w:szCs w:val="22"/>
                <w:lang w:val="en-GB"/>
              </w:rPr>
            </w:pPr>
            <w:r w:rsidRPr="00DF3EFF">
              <w:rPr>
                <w:i/>
                <w:iCs/>
                <w:sz w:val="22"/>
                <w:szCs w:val="22"/>
                <w:lang w:val="en-GB"/>
              </w:rPr>
              <w:t>Limb ischemia [in combination with treatment; open/percutaneous vascular intervention, amputation, initiation of/increased antithrombotic treatment] (Y/N)</w:t>
            </w:r>
          </w:p>
          <w:p w14:paraId="5F9EC3B6" w14:textId="77777777" w:rsidR="005A0A1D" w:rsidRPr="00DF3EFF" w:rsidRDefault="005A0A1D" w:rsidP="006370F2">
            <w:pPr>
              <w:spacing w:line="240" w:lineRule="auto"/>
              <w:rPr>
                <w:i/>
                <w:iCs/>
                <w:sz w:val="22"/>
                <w:szCs w:val="22"/>
                <w:lang w:val="en-GB"/>
              </w:rPr>
            </w:pPr>
            <w:r w:rsidRPr="00DF3EFF">
              <w:rPr>
                <w:i/>
                <w:iCs/>
                <w:sz w:val="22"/>
                <w:szCs w:val="22"/>
                <w:lang w:val="en-GB"/>
              </w:rPr>
              <w:t>Any acute kidney injury [KDIGO-classification] (Y/N)</w:t>
            </w:r>
          </w:p>
        </w:tc>
      </w:tr>
      <w:tr w:rsidR="005A0A1D" w:rsidRPr="00EB2848" w14:paraId="44C24375" w14:textId="77777777" w:rsidTr="00494FE6">
        <w:tc>
          <w:tcPr>
            <w:tcW w:w="0" w:type="auto"/>
            <w:vMerge/>
          </w:tcPr>
          <w:p w14:paraId="39244B51" w14:textId="77777777" w:rsidR="005A0A1D" w:rsidRPr="00DF3EFF" w:rsidRDefault="005A0A1D" w:rsidP="006370F2">
            <w:pPr>
              <w:spacing w:line="240" w:lineRule="auto"/>
              <w:rPr>
                <w:sz w:val="22"/>
                <w:szCs w:val="22"/>
                <w:lang w:val="en-GB"/>
              </w:rPr>
            </w:pPr>
          </w:p>
        </w:tc>
        <w:tc>
          <w:tcPr>
            <w:tcW w:w="0" w:type="auto"/>
          </w:tcPr>
          <w:p w14:paraId="406A300D" w14:textId="77777777" w:rsidR="005A0A1D" w:rsidRPr="00DF3EFF" w:rsidRDefault="005A0A1D" w:rsidP="006370F2">
            <w:pPr>
              <w:spacing w:line="240" w:lineRule="auto"/>
              <w:rPr>
                <w:i/>
                <w:iCs/>
                <w:sz w:val="22"/>
                <w:szCs w:val="22"/>
                <w:lang w:val="en-GB"/>
              </w:rPr>
            </w:pPr>
            <w:r w:rsidRPr="00DF3EFF">
              <w:rPr>
                <w:i/>
                <w:iCs/>
                <w:sz w:val="22"/>
                <w:szCs w:val="22"/>
                <w:lang w:val="en-GB"/>
              </w:rPr>
              <w:t>Days alive and free of mechanical ventilation within 90 days of inclusion</w:t>
            </w:r>
          </w:p>
        </w:tc>
      </w:tr>
      <w:tr w:rsidR="005A0A1D" w:rsidRPr="00EB2848" w14:paraId="4765BD24" w14:textId="77777777" w:rsidTr="00494FE6">
        <w:tc>
          <w:tcPr>
            <w:tcW w:w="0" w:type="auto"/>
            <w:vMerge/>
          </w:tcPr>
          <w:p w14:paraId="6BA2A616" w14:textId="77777777" w:rsidR="005A0A1D" w:rsidRPr="00DF3EFF" w:rsidRDefault="005A0A1D" w:rsidP="006370F2">
            <w:pPr>
              <w:spacing w:line="240" w:lineRule="auto"/>
              <w:rPr>
                <w:sz w:val="22"/>
                <w:szCs w:val="22"/>
                <w:lang w:val="en-GB"/>
              </w:rPr>
            </w:pPr>
          </w:p>
        </w:tc>
        <w:tc>
          <w:tcPr>
            <w:tcW w:w="0" w:type="auto"/>
          </w:tcPr>
          <w:p w14:paraId="59CA77E0" w14:textId="2D149B36" w:rsidR="005A0A1D" w:rsidRPr="00DF3EFF" w:rsidRDefault="00471FB5" w:rsidP="006370F2">
            <w:pPr>
              <w:spacing w:line="240" w:lineRule="auto"/>
              <w:rPr>
                <w:i/>
                <w:iCs/>
                <w:sz w:val="22"/>
                <w:szCs w:val="22"/>
                <w:lang w:val="en-GB"/>
              </w:rPr>
            </w:pPr>
            <w:r>
              <w:rPr>
                <w:i/>
                <w:iCs/>
                <w:sz w:val="22"/>
                <w:szCs w:val="22"/>
                <w:lang w:val="en-GB"/>
              </w:rPr>
              <w:t xml:space="preserve">Cognitive function by the </w:t>
            </w:r>
            <w:r w:rsidR="005A0A1D" w:rsidRPr="00DF3EFF">
              <w:rPr>
                <w:i/>
                <w:iCs/>
                <w:sz w:val="22"/>
                <w:szCs w:val="22"/>
                <w:lang w:val="en-GB"/>
              </w:rPr>
              <w:t>MoCA at 6 months after inclusion</w:t>
            </w:r>
          </w:p>
        </w:tc>
      </w:tr>
      <w:tr w:rsidR="005A0A1D" w:rsidRPr="00EB2848" w14:paraId="299150B9" w14:textId="77777777" w:rsidTr="00494FE6">
        <w:tc>
          <w:tcPr>
            <w:tcW w:w="0" w:type="auto"/>
            <w:vMerge/>
            <w:tcBorders>
              <w:bottom w:val="single" w:sz="4" w:space="0" w:color="auto"/>
            </w:tcBorders>
          </w:tcPr>
          <w:p w14:paraId="2515F615" w14:textId="77777777" w:rsidR="005A0A1D" w:rsidRPr="00DF3EFF" w:rsidRDefault="005A0A1D" w:rsidP="006370F2">
            <w:pPr>
              <w:spacing w:line="240" w:lineRule="auto"/>
              <w:rPr>
                <w:sz w:val="22"/>
                <w:szCs w:val="22"/>
                <w:lang w:val="en-GB"/>
              </w:rPr>
            </w:pPr>
          </w:p>
        </w:tc>
        <w:tc>
          <w:tcPr>
            <w:tcW w:w="0" w:type="auto"/>
          </w:tcPr>
          <w:p w14:paraId="568E3B99" w14:textId="2FC17915" w:rsidR="005A0A1D" w:rsidRPr="00DF3EFF" w:rsidRDefault="005A0A1D" w:rsidP="00256A58">
            <w:pPr>
              <w:spacing w:line="240" w:lineRule="auto"/>
              <w:ind w:left="-20" w:firstLine="20"/>
              <w:rPr>
                <w:i/>
                <w:iCs/>
                <w:sz w:val="22"/>
                <w:szCs w:val="22"/>
                <w:lang w:val="en-GB"/>
              </w:rPr>
            </w:pPr>
            <w:r w:rsidRPr="00DF3EFF">
              <w:rPr>
                <w:i/>
                <w:iCs/>
                <w:sz w:val="22"/>
                <w:szCs w:val="22"/>
                <w:lang w:val="en-GB"/>
              </w:rPr>
              <w:t>H</w:t>
            </w:r>
            <w:r w:rsidR="00471FB5">
              <w:rPr>
                <w:i/>
                <w:iCs/>
                <w:sz w:val="22"/>
                <w:szCs w:val="22"/>
                <w:lang w:val="en-GB"/>
              </w:rPr>
              <w:t>ealth related Quality of Life (H</w:t>
            </w:r>
            <w:r w:rsidRPr="00DF3EFF">
              <w:rPr>
                <w:i/>
                <w:iCs/>
                <w:sz w:val="22"/>
                <w:szCs w:val="22"/>
                <w:lang w:val="en-GB"/>
              </w:rPr>
              <w:t>RQoL</w:t>
            </w:r>
            <w:r w:rsidR="00471FB5">
              <w:rPr>
                <w:i/>
                <w:iCs/>
                <w:sz w:val="22"/>
                <w:szCs w:val="22"/>
                <w:lang w:val="en-GB"/>
              </w:rPr>
              <w:t>)</w:t>
            </w:r>
            <w:r w:rsidRPr="00DF3EFF">
              <w:rPr>
                <w:i/>
                <w:iCs/>
                <w:sz w:val="22"/>
                <w:szCs w:val="22"/>
                <w:lang w:val="en-GB"/>
              </w:rPr>
              <w:t xml:space="preserve"> at 6 months after inclusion (</w:t>
            </w:r>
            <w:r w:rsidR="00471FB5">
              <w:rPr>
                <w:i/>
                <w:iCs/>
                <w:sz w:val="22"/>
                <w:szCs w:val="22"/>
                <w:lang w:val="en-GB"/>
              </w:rPr>
              <w:t>EQ-</w:t>
            </w:r>
            <w:r w:rsidRPr="00DF3EFF">
              <w:rPr>
                <w:i/>
                <w:iCs/>
                <w:sz w:val="22"/>
                <w:szCs w:val="22"/>
                <w:lang w:val="en-GB"/>
              </w:rPr>
              <w:t xml:space="preserve">Visual analogue </w:t>
            </w:r>
            <w:r w:rsidR="00256A58">
              <w:rPr>
                <w:i/>
                <w:iCs/>
                <w:sz w:val="22"/>
                <w:szCs w:val="22"/>
                <w:lang w:val="en-GB"/>
              </w:rPr>
              <w:t>[VAS]</w:t>
            </w:r>
            <w:r w:rsidRPr="00DF3EFF">
              <w:rPr>
                <w:i/>
                <w:iCs/>
                <w:sz w:val="22"/>
                <w:szCs w:val="22"/>
                <w:lang w:val="en-GB"/>
              </w:rPr>
              <w:t>scale</w:t>
            </w:r>
            <w:r w:rsidR="00256A58">
              <w:rPr>
                <w:i/>
                <w:iCs/>
                <w:sz w:val="22"/>
                <w:szCs w:val="22"/>
                <w:lang w:val="en-GB"/>
              </w:rPr>
              <w:t xml:space="preserve">) </w:t>
            </w:r>
          </w:p>
        </w:tc>
      </w:tr>
      <w:tr w:rsidR="005A0A1D" w:rsidRPr="00EB2848" w14:paraId="092DA2E2" w14:textId="77777777" w:rsidTr="00494FE6">
        <w:tc>
          <w:tcPr>
            <w:tcW w:w="0" w:type="auto"/>
            <w:vMerge w:val="restart"/>
            <w:tcBorders>
              <w:top w:val="single" w:sz="4" w:space="0" w:color="auto"/>
              <w:left w:val="single" w:sz="4" w:space="0" w:color="auto"/>
              <w:right w:val="single" w:sz="4" w:space="0" w:color="auto"/>
            </w:tcBorders>
          </w:tcPr>
          <w:p w14:paraId="1DBDA8F1" w14:textId="77777777" w:rsidR="005A0A1D" w:rsidRPr="00DF3EFF" w:rsidRDefault="005A0A1D" w:rsidP="006370F2">
            <w:pPr>
              <w:spacing w:line="240" w:lineRule="auto"/>
              <w:rPr>
                <w:b/>
                <w:bCs/>
                <w:sz w:val="22"/>
                <w:szCs w:val="22"/>
                <w:lang w:val="en-GB"/>
              </w:rPr>
            </w:pPr>
            <w:r w:rsidRPr="00DF3EFF">
              <w:rPr>
                <w:b/>
                <w:bCs/>
                <w:sz w:val="22"/>
                <w:szCs w:val="22"/>
                <w:lang w:val="en-GB"/>
              </w:rPr>
              <w:t xml:space="preserve">Secondary exploratory </w:t>
            </w:r>
          </w:p>
          <w:p w14:paraId="46D29183" w14:textId="33FA2080" w:rsidR="005A0A1D" w:rsidRPr="00DF3EFF" w:rsidRDefault="005A0A1D" w:rsidP="006370F2">
            <w:pPr>
              <w:spacing w:line="240" w:lineRule="auto"/>
              <w:rPr>
                <w:b/>
                <w:bCs/>
                <w:sz w:val="22"/>
                <w:szCs w:val="22"/>
                <w:lang w:val="en-GB"/>
              </w:rPr>
            </w:pPr>
            <w:r w:rsidRPr="00DF3EFF">
              <w:rPr>
                <w:b/>
                <w:bCs/>
                <w:sz w:val="22"/>
                <w:szCs w:val="22"/>
                <w:lang w:val="en-GB"/>
              </w:rPr>
              <w:t>clinical outcomes</w:t>
            </w:r>
          </w:p>
        </w:tc>
        <w:tc>
          <w:tcPr>
            <w:tcW w:w="0" w:type="auto"/>
            <w:tcBorders>
              <w:left w:val="single" w:sz="4" w:space="0" w:color="auto"/>
            </w:tcBorders>
          </w:tcPr>
          <w:p w14:paraId="1725334C" w14:textId="77777777" w:rsidR="005A0A1D" w:rsidRPr="00DF3EFF" w:rsidRDefault="005A0A1D" w:rsidP="006370F2">
            <w:pPr>
              <w:spacing w:line="240" w:lineRule="auto"/>
              <w:rPr>
                <w:i/>
                <w:iCs/>
                <w:sz w:val="22"/>
                <w:szCs w:val="22"/>
                <w:lang w:val="en-GB"/>
              </w:rPr>
            </w:pPr>
            <w:r w:rsidRPr="00DF3EFF">
              <w:rPr>
                <w:i/>
                <w:iCs/>
                <w:sz w:val="22"/>
                <w:szCs w:val="22"/>
                <w:lang w:val="en-GB"/>
              </w:rPr>
              <w:t>Total volume of non-resuscitation fluids administered up to day 3 and 5 after inclusion (crystalloids &gt; 5 ml/kg/h, colloids and blood products) (ml)</w:t>
            </w:r>
          </w:p>
        </w:tc>
      </w:tr>
      <w:tr w:rsidR="005A0A1D" w:rsidRPr="00EB2848" w14:paraId="4EC88F02" w14:textId="77777777" w:rsidTr="00494FE6">
        <w:tc>
          <w:tcPr>
            <w:tcW w:w="0" w:type="auto"/>
            <w:vMerge/>
            <w:tcBorders>
              <w:left w:val="single" w:sz="4" w:space="0" w:color="auto"/>
              <w:right w:val="single" w:sz="4" w:space="0" w:color="auto"/>
            </w:tcBorders>
          </w:tcPr>
          <w:p w14:paraId="36CE7B63" w14:textId="77777777" w:rsidR="005A0A1D" w:rsidRPr="00DF3EFF" w:rsidRDefault="005A0A1D" w:rsidP="006370F2">
            <w:pPr>
              <w:spacing w:line="240" w:lineRule="auto"/>
              <w:rPr>
                <w:sz w:val="22"/>
                <w:szCs w:val="22"/>
                <w:lang w:val="en-GB"/>
              </w:rPr>
            </w:pPr>
          </w:p>
        </w:tc>
        <w:tc>
          <w:tcPr>
            <w:tcW w:w="0" w:type="auto"/>
            <w:tcBorders>
              <w:left w:val="single" w:sz="4" w:space="0" w:color="auto"/>
            </w:tcBorders>
          </w:tcPr>
          <w:p w14:paraId="2A606327" w14:textId="77777777" w:rsidR="005A0A1D" w:rsidRPr="00DF3EFF" w:rsidRDefault="005A0A1D" w:rsidP="006370F2">
            <w:pPr>
              <w:spacing w:line="240" w:lineRule="auto"/>
              <w:rPr>
                <w:i/>
                <w:iCs/>
                <w:sz w:val="22"/>
                <w:szCs w:val="22"/>
                <w:lang w:val="en-GB"/>
              </w:rPr>
            </w:pPr>
            <w:r w:rsidRPr="00DF3EFF">
              <w:rPr>
                <w:i/>
                <w:iCs/>
                <w:sz w:val="22"/>
                <w:szCs w:val="22"/>
                <w:lang w:val="en-GB"/>
              </w:rPr>
              <w:t xml:space="preserve">Renal function (KDIGO-classification, days alive and free of renal replacement therapy (RRT) within 90 days after inclusion (days) </w:t>
            </w:r>
          </w:p>
        </w:tc>
      </w:tr>
      <w:tr w:rsidR="005A0A1D" w:rsidRPr="00EB2848" w14:paraId="1057626F" w14:textId="77777777" w:rsidTr="00494FE6">
        <w:tc>
          <w:tcPr>
            <w:tcW w:w="0" w:type="auto"/>
            <w:vMerge/>
            <w:tcBorders>
              <w:left w:val="single" w:sz="4" w:space="0" w:color="auto"/>
              <w:right w:val="single" w:sz="4" w:space="0" w:color="auto"/>
            </w:tcBorders>
          </w:tcPr>
          <w:p w14:paraId="7F231045" w14:textId="77777777" w:rsidR="005A0A1D" w:rsidRPr="00DF3EFF" w:rsidRDefault="005A0A1D" w:rsidP="006370F2">
            <w:pPr>
              <w:spacing w:line="240" w:lineRule="auto"/>
              <w:rPr>
                <w:sz w:val="22"/>
                <w:szCs w:val="22"/>
                <w:lang w:val="en-GB"/>
              </w:rPr>
            </w:pPr>
          </w:p>
        </w:tc>
        <w:tc>
          <w:tcPr>
            <w:tcW w:w="0" w:type="auto"/>
            <w:tcBorders>
              <w:left w:val="single" w:sz="4" w:space="0" w:color="auto"/>
            </w:tcBorders>
          </w:tcPr>
          <w:p w14:paraId="7F343161" w14:textId="77777777" w:rsidR="005A0A1D" w:rsidRPr="00DF3EFF" w:rsidRDefault="005A0A1D" w:rsidP="006370F2">
            <w:pPr>
              <w:spacing w:line="240" w:lineRule="auto"/>
              <w:rPr>
                <w:i/>
                <w:iCs/>
                <w:sz w:val="22"/>
                <w:szCs w:val="22"/>
                <w:lang w:val="en-GB"/>
              </w:rPr>
            </w:pPr>
            <w:r w:rsidRPr="00DF3EFF">
              <w:rPr>
                <w:i/>
                <w:iCs/>
                <w:sz w:val="22"/>
                <w:szCs w:val="22"/>
                <w:lang w:val="en-GB"/>
              </w:rPr>
              <w:t>Gastrointestinal function (days alive with full enteral nutrition within 90 days of inclusion)(days)</w:t>
            </w:r>
          </w:p>
        </w:tc>
      </w:tr>
      <w:tr w:rsidR="005A0A1D" w:rsidRPr="00EB2848" w14:paraId="6C85BE23" w14:textId="77777777" w:rsidTr="00494FE6">
        <w:tc>
          <w:tcPr>
            <w:tcW w:w="0" w:type="auto"/>
            <w:vMerge/>
            <w:tcBorders>
              <w:left w:val="single" w:sz="4" w:space="0" w:color="auto"/>
              <w:right w:val="single" w:sz="4" w:space="0" w:color="auto"/>
            </w:tcBorders>
          </w:tcPr>
          <w:p w14:paraId="0367EA1C" w14:textId="77777777" w:rsidR="005A0A1D" w:rsidRPr="00DF3EFF" w:rsidRDefault="005A0A1D" w:rsidP="006370F2">
            <w:pPr>
              <w:spacing w:line="240" w:lineRule="auto"/>
              <w:rPr>
                <w:sz w:val="22"/>
                <w:szCs w:val="22"/>
                <w:lang w:val="en-GB"/>
              </w:rPr>
            </w:pPr>
          </w:p>
        </w:tc>
        <w:tc>
          <w:tcPr>
            <w:tcW w:w="0" w:type="auto"/>
            <w:tcBorders>
              <w:left w:val="single" w:sz="4" w:space="0" w:color="auto"/>
            </w:tcBorders>
          </w:tcPr>
          <w:p w14:paraId="448CE6F9" w14:textId="77777777" w:rsidR="005A0A1D" w:rsidRPr="00DF3EFF" w:rsidRDefault="005A0A1D" w:rsidP="006370F2">
            <w:pPr>
              <w:spacing w:line="240" w:lineRule="auto"/>
              <w:rPr>
                <w:i/>
                <w:iCs/>
                <w:sz w:val="22"/>
                <w:szCs w:val="22"/>
                <w:lang w:val="en-GB"/>
              </w:rPr>
            </w:pPr>
            <w:r w:rsidRPr="00DF3EFF">
              <w:rPr>
                <w:i/>
                <w:iCs/>
                <w:sz w:val="22"/>
                <w:szCs w:val="22"/>
                <w:lang w:val="en-GB"/>
              </w:rPr>
              <w:t xml:space="preserve">Total volume of resuscitation fluid administered up to day 3 and day 5 after inclusion (ml) </w:t>
            </w:r>
          </w:p>
        </w:tc>
      </w:tr>
      <w:tr w:rsidR="005A0A1D" w:rsidRPr="00EB2848" w14:paraId="64A9A4E6" w14:textId="77777777" w:rsidTr="00494FE6">
        <w:tc>
          <w:tcPr>
            <w:tcW w:w="0" w:type="auto"/>
            <w:vMerge/>
            <w:tcBorders>
              <w:left w:val="single" w:sz="4" w:space="0" w:color="auto"/>
              <w:right w:val="single" w:sz="4" w:space="0" w:color="auto"/>
            </w:tcBorders>
          </w:tcPr>
          <w:p w14:paraId="61DC4331" w14:textId="77777777" w:rsidR="005A0A1D" w:rsidRPr="00DF3EFF" w:rsidRDefault="005A0A1D" w:rsidP="006370F2">
            <w:pPr>
              <w:spacing w:line="240" w:lineRule="auto"/>
              <w:rPr>
                <w:sz w:val="22"/>
                <w:szCs w:val="22"/>
                <w:lang w:val="en-GB"/>
              </w:rPr>
            </w:pPr>
          </w:p>
        </w:tc>
        <w:tc>
          <w:tcPr>
            <w:tcW w:w="0" w:type="auto"/>
            <w:tcBorders>
              <w:left w:val="single" w:sz="4" w:space="0" w:color="auto"/>
            </w:tcBorders>
          </w:tcPr>
          <w:p w14:paraId="5A0AA004" w14:textId="77777777" w:rsidR="005A0A1D" w:rsidRPr="00DF3EFF" w:rsidRDefault="005A0A1D" w:rsidP="006370F2">
            <w:pPr>
              <w:spacing w:line="240" w:lineRule="auto"/>
              <w:rPr>
                <w:i/>
                <w:iCs/>
                <w:sz w:val="22"/>
                <w:szCs w:val="22"/>
                <w:lang w:val="en-GB"/>
              </w:rPr>
            </w:pPr>
            <w:r w:rsidRPr="00DF3EFF">
              <w:rPr>
                <w:i/>
                <w:iCs/>
                <w:sz w:val="22"/>
                <w:szCs w:val="22"/>
                <w:lang w:val="en-GB"/>
              </w:rPr>
              <w:t>Cumulative fluid balance at day 3 and 5 after inclusion (evaporation excluded)(ml)</w:t>
            </w:r>
          </w:p>
        </w:tc>
      </w:tr>
      <w:tr w:rsidR="005A0A1D" w:rsidRPr="00EB2848" w14:paraId="3A6E53B7" w14:textId="77777777" w:rsidTr="00494FE6">
        <w:tc>
          <w:tcPr>
            <w:tcW w:w="0" w:type="auto"/>
            <w:vMerge/>
            <w:tcBorders>
              <w:left w:val="single" w:sz="4" w:space="0" w:color="auto"/>
              <w:right w:val="single" w:sz="4" w:space="0" w:color="auto"/>
            </w:tcBorders>
          </w:tcPr>
          <w:p w14:paraId="5B27F786" w14:textId="77777777" w:rsidR="005A0A1D" w:rsidRPr="00DF3EFF" w:rsidRDefault="005A0A1D" w:rsidP="006370F2">
            <w:pPr>
              <w:spacing w:line="240" w:lineRule="auto"/>
              <w:rPr>
                <w:sz w:val="22"/>
                <w:szCs w:val="22"/>
                <w:lang w:val="en-GB"/>
              </w:rPr>
            </w:pPr>
          </w:p>
        </w:tc>
        <w:tc>
          <w:tcPr>
            <w:tcW w:w="0" w:type="auto"/>
            <w:tcBorders>
              <w:left w:val="single" w:sz="4" w:space="0" w:color="auto"/>
            </w:tcBorders>
          </w:tcPr>
          <w:p w14:paraId="274FC611" w14:textId="77777777" w:rsidR="005A0A1D" w:rsidRPr="00DF3EFF" w:rsidRDefault="005A0A1D" w:rsidP="006370F2">
            <w:pPr>
              <w:spacing w:line="240" w:lineRule="auto"/>
              <w:rPr>
                <w:i/>
                <w:iCs/>
                <w:sz w:val="22"/>
                <w:szCs w:val="22"/>
                <w:lang w:val="en-GB"/>
              </w:rPr>
            </w:pPr>
            <w:r w:rsidRPr="00DF3EFF">
              <w:rPr>
                <w:i/>
                <w:iCs/>
                <w:sz w:val="22"/>
                <w:szCs w:val="22"/>
                <w:lang w:val="en-GB"/>
              </w:rPr>
              <w:t>Dose of loop diuretics first 5 days after inclusion (mg)</w:t>
            </w:r>
          </w:p>
        </w:tc>
      </w:tr>
      <w:tr w:rsidR="005A0A1D" w:rsidRPr="00EB2848" w14:paraId="0E12BEDF" w14:textId="77777777" w:rsidTr="00494FE6">
        <w:tc>
          <w:tcPr>
            <w:tcW w:w="0" w:type="auto"/>
            <w:vMerge/>
            <w:tcBorders>
              <w:left w:val="single" w:sz="4" w:space="0" w:color="auto"/>
              <w:right w:val="single" w:sz="4" w:space="0" w:color="auto"/>
            </w:tcBorders>
          </w:tcPr>
          <w:p w14:paraId="358E6FA5" w14:textId="77777777" w:rsidR="005A0A1D" w:rsidRPr="00DF3EFF" w:rsidRDefault="005A0A1D" w:rsidP="006370F2">
            <w:pPr>
              <w:spacing w:line="240" w:lineRule="auto"/>
              <w:rPr>
                <w:sz w:val="22"/>
                <w:szCs w:val="22"/>
                <w:lang w:val="en-GB"/>
              </w:rPr>
            </w:pPr>
          </w:p>
        </w:tc>
        <w:tc>
          <w:tcPr>
            <w:tcW w:w="0" w:type="auto"/>
            <w:tcBorders>
              <w:left w:val="single" w:sz="4" w:space="0" w:color="auto"/>
            </w:tcBorders>
          </w:tcPr>
          <w:p w14:paraId="345DD074" w14:textId="77777777" w:rsidR="005A0A1D" w:rsidRPr="00DF3EFF" w:rsidRDefault="005A0A1D" w:rsidP="006370F2">
            <w:pPr>
              <w:spacing w:line="240" w:lineRule="auto"/>
              <w:rPr>
                <w:i/>
                <w:iCs/>
                <w:sz w:val="22"/>
                <w:szCs w:val="22"/>
                <w:lang w:val="en-GB"/>
              </w:rPr>
            </w:pPr>
            <w:r w:rsidRPr="00DF3EFF">
              <w:rPr>
                <w:i/>
                <w:iCs/>
                <w:sz w:val="22"/>
                <w:szCs w:val="22"/>
                <w:lang w:val="en-GB"/>
              </w:rPr>
              <w:t>Hemodynamic stability first 5 days after inclusion (highest dose of noradrenaline (ug/kg/h), highest daily lactate (mmol(l), Cardiovascular Sequential Organ Failure Assessment (SOFA)-score</w:t>
            </w:r>
          </w:p>
        </w:tc>
      </w:tr>
      <w:tr w:rsidR="005A0A1D" w:rsidRPr="00EB2848" w14:paraId="6E9D7C04" w14:textId="77777777" w:rsidTr="00494FE6">
        <w:tc>
          <w:tcPr>
            <w:tcW w:w="0" w:type="auto"/>
            <w:vMerge/>
            <w:tcBorders>
              <w:left w:val="single" w:sz="4" w:space="0" w:color="auto"/>
              <w:bottom w:val="nil"/>
              <w:right w:val="single" w:sz="4" w:space="0" w:color="auto"/>
            </w:tcBorders>
          </w:tcPr>
          <w:p w14:paraId="0031247E" w14:textId="77777777" w:rsidR="005A0A1D" w:rsidRPr="00DF3EFF" w:rsidRDefault="005A0A1D" w:rsidP="006370F2">
            <w:pPr>
              <w:spacing w:line="240" w:lineRule="auto"/>
              <w:rPr>
                <w:sz w:val="22"/>
                <w:szCs w:val="22"/>
                <w:lang w:val="en-GB"/>
              </w:rPr>
            </w:pPr>
          </w:p>
        </w:tc>
        <w:tc>
          <w:tcPr>
            <w:tcW w:w="0" w:type="auto"/>
            <w:tcBorders>
              <w:left w:val="single" w:sz="4" w:space="0" w:color="auto"/>
            </w:tcBorders>
          </w:tcPr>
          <w:p w14:paraId="7851A114" w14:textId="72E6C350" w:rsidR="005A0A1D" w:rsidRPr="00DF3EFF" w:rsidRDefault="00471FB5" w:rsidP="006370F2">
            <w:pPr>
              <w:spacing w:line="240" w:lineRule="auto"/>
              <w:rPr>
                <w:i/>
                <w:iCs/>
                <w:sz w:val="22"/>
                <w:szCs w:val="22"/>
                <w:lang w:val="en-GB"/>
              </w:rPr>
            </w:pPr>
            <w:r>
              <w:rPr>
                <w:i/>
                <w:iCs/>
                <w:sz w:val="22"/>
                <w:szCs w:val="22"/>
                <w:lang w:val="en-GB"/>
              </w:rPr>
              <w:t>Function</w:t>
            </w:r>
            <w:r w:rsidR="001F4D45">
              <w:rPr>
                <w:i/>
                <w:iCs/>
                <w:sz w:val="22"/>
                <w:szCs w:val="22"/>
                <w:lang w:val="en-GB"/>
              </w:rPr>
              <w:t>a</w:t>
            </w:r>
            <w:r>
              <w:rPr>
                <w:i/>
                <w:iCs/>
                <w:sz w:val="22"/>
                <w:szCs w:val="22"/>
                <w:lang w:val="en-GB"/>
              </w:rPr>
              <w:t xml:space="preserve">l outcome by the </w:t>
            </w:r>
            <w:r w:rsidR="005A0A1D" w:rsidRPr="00DF3EFF">
              <w:rPr>
                <w:i/>
                <w:iCs/>
                <w:sz w:val="22"/>
                <w:szCs w:val="22"/>
                <w:lang w:val="en-GB"/>
              </w:rPr>
              <w:t xml:space="preserve">Glasgow Outcome Scale Extended (GOSE) at 6 </w:t>
            </w:r>
            <w:r w:rsidR="00031CB7" w:rsidRPr="00DF3EFF">
              <w:rPr>
                <w:i/>
                <w:iCs/>
                <w:sz w:val="22"/>
                <w:szCs w:val="22"/>
                <w:lang w:val="en-GB"/>
              </w:rPr>
              <w:t xml:space="preserve">months </w:t>
            </w:r>
            <w:r w:rsidR="005A0A1D" w:rsidRPr="00DF3EFF">
              <w:rPr>
                <w:i/>
                <w:iCs/>
                <w:sz w:val="22"/>
                <w:szCs w:val="22"/>
                <w:lang w:val="en-GB"/>
              </w:rPr>
              <w:t>after inclusion</w:t>
            </w:r>
            <w:r w:rsidR="00FF45FA">
              <w:rPr>
                <w:i/>
                <w:iCs/>
                <w:sz w:val="22"/>
                <w:szCs w:val="22"/>
                <w:lang w:val="en-GB"/>
              </w:rPr>
              <w:t xml:space="preserve">, </w:t>
            </w:r>
            <w:r w:rsidR="001F4D45">
              <w:rPr>
                <w:i/>
                <w:iCs/>
                <w:sz w:val="22"/>
                <w:szCs w:val="22"/>
                <w:lang w:val="en-GB"/>
              </w:rPr>
              <w:t xml:space="preserve">the </w:t>
            </w:r>
            <w:r w:rsidR="00FF45FA">
              <w:rPr>
                <w:i/>
                <w:iCs/>
                <w:sz w:val="22"/>
                <w:szCs w:val="22"/>
                <w:lang w:val="en-GB"/>
              </w:rPr>
              <w:t xml:space="preserve">EQ index and </w:t>
            </w:r>
            <w:r w:rsidR="00EE7224">
              <w:rPr>
                <w:i/>
                <w:iCs/>
                <w:sz w:val="22"/>
                <w:szCs w:val="22"/>
                <w:lang w:val="en-GB"/>
              </w:rPr>
              <w:t>EQ dimensions</w:t>
            </w:r>
            <w:r w:rsidR="002C5826">
              <w:rPr>
                <w:i/>
                <w:iCs/>
                <w:sz w:val="22"/>
                <w:szCs w:val="22"/>
                <w:lang w:val="en-GB"/>
              </w:rPr>
              <w:t>.</w:t>
            </w:r>
          </w:p>
        </w:tc>
      </w:tr>
    </w:tbl>
    <w:p w14:paraId="318457B1" w14:textId="3D24E08A" w:rsidR="005A0A1D" w:rsidRPr="00DF3EFF" w:rsidRDefault="005A0A1D" w:rsidP="005D4D88">
      <w:pPr>
        <w:rPr>
          <w:lang w:val="en-GB"/>
        </w:rPr>
      </w:pPr>
    </w:p>
    <w:p w14:paraId="4AC6F3A9" w14:textId="4D7E78F4" w:rsidR="005A0A1D" w:rsidRPr="00DF3EFF" w:rsidRDefault="005A0A1D" w:rsidP="005D4D88">
      <w:pPr>
        <w:rPr>
          <w:lang w:val="en-GB"/>
        </w:rPr>
      </w:pPr>
    </w:p>
    <w:p w14:paraId="644BFEC3" w14:textId="77777777" w:rsidR="00BB6370" w:rsidRPr="00DF3EFF" w:rsidRDefault="00BB6370">
      <w:pPr>
        <w:spacing w:line="240" w:lineRule="auto"/>
        <w:rPr>
          <w:lang w:val="en-GB"/>
        </w:rPr>
      </w:pPr>
      <w:r w:rsidRPr="00DF3EFF">
        <w:rPr>
          <w:lang w:val="en-GB"/>
        </w:rPr>
        <w:br w:type="page"/>
      </w:r>
    </w:p>
    <w:p w14:paraId="458673EC" w14:textId="77777777" w:rsidR="00CA6F06" w:rsidRPr="00765C6A" w:rsidRDefault="00CA6F06" w:rsidP="00CA6F06">
      <w:pPr>
        <w:rPr>
          <w:b/>
          <w:bCs/>
          <w:lang w:val="en-US"/>
        </w:rPr>
      </w:pPr>
      <w:r w:rsidRPr="00765C6A">
        <w:rPr>
          <w:b/>
          <w:bCs/>
          <w:lang w:val="en-US"/>
        </w:rPr>
        <w:lastRenderedPageBreak/>
        <w:t xml:space="preserve">Supplementary material </w:t>
      </w:r>
    </w:p>
    <w:tbl>
      <w:tblPr>
        <w:tblStyle w:val="Tabel-Gitter"/>
        <w:tblW w:w="0" w:type="auto"/>
        <w:tblInd w:w="-147" w:type="dxa"/>
        <w:tblLook w:val="04A0" w:firstRow="1" w:lastRow="0" w:firstColumn="1" w:lastColumn="0" w:noHBand="0" w:noVBand="1"/>
      </w:tblPr>
      <w:tblGrid>
        <w:gridCol w:w="2828"/>
        <w:gridCol w:w="6335"/>
      </w:tblGrid>
      <w:tr w:rsidR="00CA6F06" w:rsidRPr="002D1E29" w14:paraId="280C71C1" w14:textId="77777777" w:rsidTr="00EB2848">
        <w:tc>
          <w:tcPr>
            <w:tcW w:w="2828" w:type="dxa"/>
            <w:vMerge w:val="restart"/>
            <w:tcBorders>
              <w:top w:val="single" w:sz="4" w:space="0" w:color="auto"/>
              <w:left w:val="single" w:sz="4" w:space="0" w:color="auto"/>
              <w:right w:val="single" w:sz="4" w:space="0" w:color="auto"/>
            </w:tcBorders>
          </w:tcPr>
          <w:p w14:paraId="521A0D55" w14:textId="77777777" w:rsidR="00CA6F06" w:rsidRPr="00A87470" w:rsidRDefault="00CA6F06" w:rsidP="00EB2848">
            <w:pPr>
              <w:rPr>
                <w:rFonts w:ascii="Calibri" w:eastAsia="Calibri" w:hAnsi="Calibri" w:cs="Times New Roman"/>
                <w:b/>
                <w:bCs/>
              </w:rPr>
            </w:pPr>
            <w:r w:rsidRPr="00A87470">
              <w:rPr>
                <w:rFonts w:ascii="Calibri" w:eastAsia="Calibri" w:hAnsi="Calibri" w:cs="Times New Roman"/>
                <w:b/>
                <w:bCs/>
              </w:rPr>
              <w:t>Demographic/background variables</w:t>
            </w:r>
          </w:p>
        </w:tc>
        <w:tc>
          <w:tcPr>
            <w:tcW w:w="6335" w:type="dxa"/>
            <w:tcBorders>
              <w:left w:val="single" w:sz="4" w:space="0" w:color="auto"/>
            </w:tcBorders>
          </w:tcPr>
          <w:p w14:paraId="4C7E6599"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Age (y</w:t>
            </w:r>
            <w:r w:rsidRPr="002D1E29">
              <w:rPr>
                <w:rFonts w:ascii="Calibri" w:eastAsia="Calibri" w:hAnsi="Calibri" w:cs="Times New Roman"/>
              </w:rPr>
              <w:t>ea</w:t>
            </w:r>
            <w:r w:rsidRPr="00A87470">
              <w:rPr>
                <w:rFonts w:ascii="Calibri" w:eastAsia="Calibri" w:hAnsi="Calibri" w:cs="Times New Roman"/>
              </w:rPr>
              <w:t>rs)</w:t>
            </w:r>
          </w:p>
        </w:tc>
      </w:tr>
      <w:tr w:rsidR="00CA6F06" w:rsidRPr="002D1E29" w14:paraId="07FC13AB" w14:textId="77777777" w:rsidTr="00EB2848">
        <w:tc>
          <w:tcPr>
            <w:tcW w:w="2828" w:type="dxa"/>
            <w:vMerge/>
            <w:tcBorders>
              <w:left w:val="single" w:sz="4" w:space="0" w:color="auto"/>
              <w:right w:val="single" w:sz="4" w:space="0" w:color="auto"/>
            </w:tcBorders>
          </w:tcPr>
          <w:p w14:paraId="0074C46C"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1AA00567"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Sex (F/M)</w:t>
            </w:r>
          </w:p>
        </w:tc>
      </w:tr>
      <w:tr w:rsidR="00CA6F06" w:rsidRPr="002D1E29" w14:paraId="2C003B60" w14:textId="77777777" w:rsidTr="00EB2848">
        <w:tc>
          <w:tcPr>
            <w:tcW w:w="2828" w:type="dxa"/>
            <w:vMerge/>
            <w:tcBorders>
              <w:left w:val="single" w:sz="4" w:space="0" w:color="auto"/>
              <w:right w:val="single" w:sz="4" w:space="0" w:color="auto"/>
            </w:tcBorders>
          </w:tcPr>
          <w:p w14:paraId="6C8B3E87"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34EABA77" w14:textId="77777777" w:rsidR="00CA6F06" w:rsidRPr="002D1E29" w:rsidRDefault="00CA6F06" w:rsidP="00EB2848">
            <w:pPr>
              <w:rPr>
                <w:rFonts w:ascii="Calibri" w:eastAsia="Calibri" w:hAnsi="Calibri" w:cs="Times New Roman"/>
              </w:rPr>
            </w:pPr>
            <w:r w:rsidRPr="002D1E29">
              <w:rPr>
                <w:rFonts w:ascii="Calibri" w:eastAsia="Calibri" w:hAnsi="Calibri" w:cs="Times New Roman"/>
              </w:rPr>
              <w:t>Gender (F/M/other)</w:t>
            </w:r>
          </w:p>
        </w:tc>
      </w:tr>
      <w:tr w:rsidR="00CA6F06" w:rsidRPr="002D1E29" w14:paraId="6432C18A" w14:textId="77777777" w:rsidTr="00EB2848">
        <w:tc>
          <w:tcPr>
            <w:tcW w:w="2828" w:type="dxa"/>
            <w:vMerge/>
            <w:tcBorders>
              <w:left w:val="single" w:sz="4" w:space="0" w:color="auto"/>
              <w:right w:val="single" w:sz="4" w:space="0" w:color="auto"/>
            </w:tcBorders>
          </w:tcPr>
          <w:p w14:paraId="1FF2AB0B"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3B987E51"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Height (cm)</w:t>
            </w:r>
          </w:p>
        </w:tc>
      </w:tr>
      <w:tr w:rsidR="00CA6F06" w:rsidRPr="00EB2848" w14:paraId="48E8F744" w14:textId="77777777" w:rsidTr="00EB2848">
        <w:tc>
          <w:tcPr>
            <w:tcW w:w="2828" w:type="dxa"/>
            <w:vMerge/>
            <w:tcBorders>
              <w:left w:val="single" w:sz="4" w:space="0" w:color="auto"/>
              <w:right w:val="single" w:sz="4" w:space="0" w:color="auto"/>
            </w:tcBorders>
          </w:tcPr>
          <w:p w14:paraId="0A37BC5A"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17418DC8"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Weight at baseline (kg, standardized according to local practice)</w:t>
            </w:r>
          </w:p>
        </w:tc>
      </w:tr>
      <w:tr w:rsidR="00CA6F06" w:rsidRPr="002D1E29" w14:paraId="46E61655" w14:textId="77777777" w:rsidTr="00EB2848">
        <w:tc>
          <w:tcPr>
            <w:tcW w:w="2828" w:type="dxa"/>
            <w:vMerge/>
            <w:tcBorders>
              <w:left w:val="single" w:sz="4" w:space="0" w:color="auto"/>
              <w:right w:val="single" w:sz="4" w:space="0" w:color="auto"/>
            </w:tcBorders>
          </w:tcPr>
          <w:p w14:paraId="2C62BBBA"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62C8A81C" w14:textId="77777777" w:rsidR="00CA6F06" w:rsidRPr="002D1E29" w:rsidRDefault="00CA6F06" w:rsidP="00EB2848">
            <w:pPr>
              <w:rPr>
                <w:rFonts w:ascii="Calibri" w:eastAsia="Calibri" w:hAnsi="Calibri" w:cs="Times New Roman"/>
              </w:rPr>
            </w:pPr>
            <w:r w:rsidRPr="00A87470">
              <w:rPr>
                <w:rFonts w:ascii="Calibri" w:eastAsia="Calibri" w:hAnsi="Calibri" w:cs="Times New Roman"/>
              </w:rPr>
              <w:t xml:space="preserve">Clinical Frailty Score </w:t>
            </w:r>
          </w:p>
        </w:tc>
      </w:tr>
      <w:tr w:rsidR="00CA6F06" w:rsidRPr="00EB2848" w14:paraId="0104ADF3" w14:textId="77777777" w:rsidTr="00EB2848">
        <w:tc>
          <w:tcPr>
            <w:tcW w:w="2828" w:type="dxa"/>
            <w:vMerge/>
            <w:tcBorders>
              <w:left w:val="single" w:sz="4" w:space="0" w:color="auto"/>
              <w:right w:val="single" w:sz="4" w:space="0" w:color="auto"/>
            </w:tcBorders>
          </w:tcPr>
          <w:p w14:paraId="03F3A4C2"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35044CD7"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Baseline creatinine [lowest in the 12 months preceding randomization] (µmol/L)</w:t>
            </w:r>
          </w:p>
        </w:tc>
      </w:tr>
      <w:tr w:rsidR="00CA6F06" w:rsidRPr="002D1E29" w14:paraId="399FBCD4" w14:textId="77777777" w:rsidTr="00EB2848">
        <w:tc>
          <w:tcPr>
            <w:tcW w:w="2828" w:type="dxa"/>
            <w:vMerge/>
            <w:tcBorders>
              <w:left w:val="single" w:sz="4" w:space="0" w:color="auto"/>
              <w:right w:val="single" w:sz="4" w:space="0" w:color="auto"/>
            </w:tcBorders>
          </w:tcPr>
          <w:p w14:paraId="2B91EE96"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187AC9E3"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 xml:space="preserve">Charlson Comorbidity Index </w:t>
            </w:r>
          </w:p>
        </w:tc>
      </w:tr>
      <w:tr w:rsidR="00CA6F06" w:rsidRPr="00EB2848" w14:paraId="039A2BF1" w14:textId="77777777" w:rsidTr="00EB2848">
        <w:tc>
          <w:tcPr>
            <w:tcW w:w="2828" w:type="dxa"/>
            <w:vMerge/>
            <w:tcBorders>
              <w:left w:val="single" w:sz="4" w:space="0" w:color="auto"/>
              <w:right w:val="single" w:sz="4" w:space="0" w:color="auto"/>
            </w:tcBorders>
          </w:tcPr>
          <w:p w14:paraId="401BEB6B"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0A23344D"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 xml:space="preserve">Type of initial antibiotic treatment </w:t>
            </w:r>
          </w:p>
        </w:tc>
      </w:tr>
      <w:tr w:rsidR="00CA6F06" w:rsidRPr="002D1E29" w14:paraId="15D6973D" w14:textId="77777777" w:rsidTr="00EB2848">
        <w:tc>
          <w:tcPr>
            <w:tcW w:w="2828" w:type="dxa"/>
            <w:vMerge/>
            <w:tcBorders>
              <w:left w:val="single" w:sz="4" w:space="0" w:color="auto"/>
              <w:right w:val="single" w:sz="4" w:space="0" w:color="auto"/>
            </w:tcBorders>
          </w:tcPr>
          <w:p w14:paraId="4C947858"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76D99FDB" w14:textId="77777777" w:rsidR="00CA6F06" w:rsidRPr="002D1E29" w:rsidRDefault="00CA6F06" w:rsidP="00EB2848">
            <w:pPr>
              <w:rPr>
                <w:rFonts w:ascii="Calibri" w:eastAsia="Calibri" w:hAnsi="Calibri" w:cs="Times New Roman"/>
              </w:rPr>
            </w:pPr>
            <w:r w:rsidRPr="002D1E29">
              <w:rPr>
                <w:rFonts w:ascii="Calibri" w:eastAsia="Calibri" w:hAnsi="Calibri" w:cs="Times New Roman"/>
              </w:rPr>
              <w:t xml:space="preserve">Suspected </w:t>
            </w:r>
            <w:r w:rsidRPr="00A87470">
              <w:rPr>
                <w:rFonts w:ascii="Calibri" w:eastAsia="Calibri" w:hAnsi="Calibri" w:cs="Times New Roman"/>
              </w:rPr>
              <w:t>pathogen</w:t>
            </w:r>
          </w:p>
        </w:tc>
      </w:tr>
      <w:tr w:rsidR="00CA6F06" w:rsidRPr="00EB2848" w14:paraId="1525D21A" w14:textId="77777777" w:rsidTr="00EB2848">
        <w:tc>
          <w:tcPr>
            <w:tcW w:w="2828" w:type="dxa"/>
            <w:vMerge/>
            <w:tcBorders>
              <w:left w:val="single" w:sz="4" w:space="0" w:color="auto"/>
              <w:right w:val="single" w:sz="4" w:space="0" w:color="auto"/>
            </w:tcBorders>
          </w:tcPr>
          <w:p w14:paraId="6474AA3E"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6AB3F75E"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Suspected pathogen sensitive to initial antibiotic treatment (Y/N)</w:t>
            </w:r>
          </w:p>
        </w:tc>
      </w:tr>
      <w:tr w:rsidR="00CA6F06" w:rsidRPr="00EB2848" w14:paraId="31A1C463" w14:textId="77777777" w:rsidTr="00EB2848">
        <w:tc>
          <w:tcPr>
            <w:tcW w:w="2828" w:type="dxa"/>
            <w:vMerge/>
            <w:tcBorders>
              <w:left w:val="single" w:sz="4" w:space="0" w:color="auto"/>
              <w:right w:val="single" w:sz="4" w:space="0" w:color="auto"/>
            </w:tcBorders>
          </w:tcPr>
          <w:p w14:paraId="66F9FA12"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1EFB8172"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Hospital admission (dd-mmm-yyyy, hh:mm)</w:t>
            </w:r>
          </w:p>
        </w:tc>
      </w:tr>
      <w:tr w:rsidR="00CA6F06" w:rsidRPr="002D1E29" w14:paraId="412F1B94" w14:textId="77777777" w:rsidTr="00EB2848">
        <w:tc>
          <w:tcPr>
            <w:tcW w:w="2828" w:type="dxa"/>
            <w:vMerge/>
            <w:tcBorders>
              <w:left w:val="single" w:sz="4" w:space="0" w:color="auto"/>
              <w:right w:val="single" w:sz="4" w:space="0" w:color="auto"/>
            </w:tcBorders>
          </w:tcPr>
          <w:p w14:paraId="25F7D8DE"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30477A64" w14:textId="77777777" w:rsidR="00CA6F06" w:rsidRPr="002D1E29" w:rsidRDefault="00CA6F06" w:rsidP="00EB2848">
            <w:pPr>
              <w:rPr>
                <w:rFonts w:ascii="Calibri" w:eastAsia="Calibri" w:hAnsi="Calibri" w:cs="Times New Roman"/>
              </w:rPr>
            </w:pPr>
            <w:r w:rsidRPr="00A87470">
              <w:rPr>
                <w:rFonts w:ascii="Calibri" w:eastAsia="Calibri" w:hAnsi="Calibri" w:cs="Times New Roman"/>
              </w:rPr>
              <w:t>ICU admission (dd-mmm-yyyy, hh:mm)</w:t>
            </w:r>
          </w:p>
        </w:tc>
      </w:tr>
      <w:tr w:rsidR="00CA6F06" w:rsidRPr="002D1E29" w14:paraId="766A42D9" w14:textId="77777777" w:rsidTr="00EB2848">
        <w:tc>
          <w:tcPr>
            <w:tcW w:w="2828" w:type="dxa"/>
            <w:vMerge/>
            <w:tcBorders>
              <w:left w:val="single" w:sz="4" w:space="0" w:color="auto"/>
              <w:right w:val="single" w:sz="4" w:space="0" w:color="auto"/>
            </w:tcBorders>
          </w:tcPr>
          <w:p w14:paraId="4741E105"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45625801"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Hospital location prior to randomization</w:t>
            </w:r>
          </w:p>
          <w:p w14:paraId="68D6FA60"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Emergency department</w:t>
            </w:r>
          </w:p>
          <w:p w14:paraId="1A5010D1"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Operating room</w:t>
            </w:r>
          </w:p>
          <w:p w14:paraId="0CA1D089" w14:textId="77777777" w:rsidR="00CA6F06" w:rsidRPr="002D1E29"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Other ICU</w:t>
            </w:r>
          </w:p>
          <w:p w14:paraId="36C9CA7F" w14:textId="77777777" w:rsidR="00CA6F06" w:rsidRPr="002D1E29"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Other unit</w:t>
            </w:r>
          </w:p>
        </w:tc>
      </w:tr>
      <w:tr w:rsidR="00CA6F06" w:rsidRPr="002D1E29" w14:paraId="4913F14D" w14:textId="77777777" w:rsidTr="00EB2848">
        <w:tc>
          <w:tcPr>
            <w:tcW w:w="2828" w:type="dxa"/>
            <w:vMerge/>
            <w:tcBorders>
              <w:left w:val="single" w:sz="4" w:space="0" w:color="auto"/>
              <w:right w:val="single" w:sz="4" w:space="0" w:color="auto"/>
            </w:tcBorders>
          </w:tcPr>
          <w:p w14:paraId="6593816E"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66D949E0"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Surgery prior to randomization (Y/N), if yes, specify:</w:t>
            </w:r>
          </w:p>
          <w:p w14:paraId="38F40C50"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Head and neck</w:t>
            </w:r>
          </w:p>
          <w:p w14:paraId="05892F29"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Thorax</w:t>
            </w:r>
          </w:p>
          <w:p w14:paraId="7AE2E00E"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Abdominal/pelvic</w:t>
            </w:r>
          </w:p>
          <w:p w14:paraId="6CBA60B6"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Extremities</w:t>
            </w:r>
          </w:p>
          <w:p w14:paraId="451D080C" w14:textId="77777777" w:rsidR="00CA6F06" w:rsidRPr="002D1E29"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Trauma</w:t>
            </w:r>
          </w:p>
          <w:p w14:paraId="05CA9DCA" w14:textId="77777777" w:rsidR="00CA6F06" w:rsidRPr="002D1E29" w:rsidRDefault="00CA6F06" w:rsidP="00CA6F06">
            <w:pPr>
              <w:numPr>
                <w:ilvl w:val="0"/>
                <w:numId w:val="7"/>
              </w:numPr>
              <w:spacing w:line="240" w:lineRule="auto"/>
              <w:contextualSpacing/>
              <w:rPr>
                <w:rFonts w:ascii="Calibri" w:eastAsia="Calibri" w:hAnsi="Calibri" w:cs="Times New Roman"/>
              </w:rPr>
            </w:pPr>
            <w:r w:rsidRPr="002D1E29">
              <w:rPr>
                <w:rFonts w:ascii="Calibri" w:eastAsia="Calibri" w:hAnsi="Calibri" w:cs="Times New Roman"/>
              </w:rPr>
              <w:t>Other</w:t>
            </w:r>
          </w:p>
        </w:tc>
      </w:tr>
      <w:tr w:rsidR="00CA6F06" w:rsidRPr="002D1E29" w14:paraId="6477E815" w14:textId="77777777" w:rsidTr="00EB2848">
        <w:trPr>
          <w:trHeight w:val="912"/>
        </w:trPr>
        <w:tc>
          <w:tcPr>
            <w:tcW w:w="2828" w:type="dxa"/>
            <w:vMerge/>
            <w:tcBorders>
              <w:left w:val="single" w:sz="4" w:space="0" w:color="auto"/>
              <w:right w:val="single" w:sz="4" w:space="0" w:color="auto"/>
            </w:tcBorders>
          </w:tcPr>
          <w:p w14:paraId="1D1CE32D"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784404C5" w14:textId="77777777" w:rsidR="00CA6F06" w:rsidRPr="00765C6A" w:rsidRDefault="00CA6F06" w:rsidP="00EB2848">
            <w:pPr>
              <w:rPr>
                <w:rFonts w:ascii="Calibri" w:eastAsia="Calibri" w:hAnsi="Calibri" w:cs="Times New Roman"/>
                <w:lang w:val="en-US"/>
              </w:rPr>
            </w:pPr>
            <w:r w:rsidRPr="00890DEA">
              <w:rPr>
                <w:rFonts w:ascii="Calibri" w:eastAsia="Calibri" w:hAnsi="Calibri" w:cs="Times New Roman"/>
                <w:lang w:val="en-US"/>
              </w:rPr>
              <w:t xml:space="preserve">Origin of sepsis (according to criteria developed by Linder/Mellhammar. </w:t>
            </w:r>
            <w:r w:rsidRPr="00765C6A">
              <w:rPr>
                <w:rFonts w:ascii="Calibri" w:eastAsia="Calibri" w:hAnsi="Calibri" w:cs="Times New Roman"/>
                <w:lang w:val="en-US"/>
              </w:rPr>
              <w:t>Mellhammar et al. Crit Care Exp 2022;4:e0697</w:t>
            </w:r>
            <w:r>
              <w:rPr>
                <w:rFonts w:ascii="Calibri" w:eastAsia="Calibri" w:hAnsi="Calibri" w:cs="Times New Roman"/>
                <w:lang w:val="en-US"/>
              </w:rPr>
              <w:t>).</w:t>
            </w:r>
          </w:p>
        </w:tc>
      </w:tr>
      <w:tr w:rsidR="00CA6F06" w:rsidRPr="00EB2848" w14:paraId="04F27E7D" w14:textId="77777777" w:rsidTr="00EB2848">
        <w:tc>
          <w:tcPr>
            <w:tcW w:w="2828" w:type="dxa"/>
            <w:vMerge/>
            <w:tcBorders>
              <w:left w:val="single" w:sz="4" w:space="0" w:color="auto"/>
              <w:right w:val="single" w:sz="4" w:space="0" w:color="auto"/>
            </w:tcBorders>
          </w:tcPr>
          <w:p w14:paraId="670F6AD5"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55825B39"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Previous cardiac disease (Y/N), if yes, specify; previous PCI, CABG, ICD, atrial fibrillation/flutter, or cardiomyopathy)</w:t>
            </w:r>
          </w:p>
        </w:tc>
      </w:tr>
      <w:tr w:rsidR="00CA6F06" w:rsidRPr="00EB2848" w14:paraId="07189AF1" w14:textId="77777777" w:rsidTr="00EB2848">
        <w:trPr>
          <w:trHeight w:val="168"/>
        </w:trPr>
        <w:tc>
          <w:tcPr>
            <w:tcW w:w="2828" w:type="dxa"/>
            <w:vMerge/>
            <w:tcBorders>
              <w:left w:val="single" w:sz="4" w:space="0" w:color="auto"/>
              <w:right w:val="single" w:sz="4" w:space="0" w:color="auto"/>
            </w:tcBorders>
          </w:tcPr>
          <w:p w14:paraId="65EB40A6"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0D1C05D6"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Hypertension with pharmacological treatment (Y/N)</w:t>
            </w:r>
          </w:p>
        </w:tc>
      </w:tr>
      <w:tr w:rsidR="00CA6F06" w:rsidRPr="00EB2848" w14:paraId="6EF3A777" w14:textId="77777777" w:rsidTr="00EB2848">
        <w:tc>
          <w:tcPr>
            <w:tcW w:w="2828" w:type="dxa"/>
            <w:vMerge/>
            <w:tcBorders>
              <w:left w:val="single" w:sz="4" w:space="0" w:color="auto"/>
              <w:right w:val="single" w:sz="4" w:space="0" w:color="auto"/>
            </w:tcBorders>
          </w:tcPr>
          <w:p w14:paraId="55FCCBDE"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5E25E5F4" w14:textId="77777777" w:rsidR="00CA6F06" w:rsidRPr="00890DEA" w:rsidRDefault="00CA6F06" w:rsidP="00EB2848">
            <w:pPr>
              <w:rPr>
                <w:rFonts w:ascii="Calibri" w:eastAsia="Calibri" w:hAnsi="Calibri" w:cs="Times New Roman"/>
                <w:lang w:val="en-US"/>
              </w:rPr>
            </w:pPr>
          </w:p>
        </w:tc>
      </w:tr>
      <w:tr w:rsidR="00CA6F06" w:rsidRPr="002D1E29" w14:paraId="6EB829EF" w14:textId="77777777" w:rsidTr="00EB2848">
        <w:trPr>
          <w:trHeight w:val="270"/>
        </w:trPr>
        <w:tc>
          <w:tcPr>
            <w:tcW w:w="2828" w:type="dxa"/>
            <w:vMerge w:val="restart"/>
            <w:tcBorders>
              <w:top w:val="single" w:sz="4" w:space="0" w:color="auto"/>
              <w:left w:val="single" w:sz="4" w:space="0" w:color="auto"/>
              <w:right w:val="single" w:sz="4" w:space="0" w:color="auto"/>
            </w:tcBorders>
          </w:tcPr>
          <w:p w14:paraId="146C7AAB"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b/>
                <w:bCs/>
                <w:lang w:val="en-US"/>
              </w:rPr>
              <w:t>Baseline variables at study inclusion</w:t>
            </w:r>
          </w:p>
          <w:p w14:paraId="20AA9E1B"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bCs/>
                <w:lang w:val="en-US"/>
              </w:rPr>
              <w:t>(all values are</w:t>
            </w:r>
            <w:r w:rsidRPr="00890DEA">
              <w:rPr>
                <w:rFonts w:ascii="Calibri" w:eastAsia="Calibri" w:hAnsi="Calibri" w:cs="Times New Roman"/>
                <w:b/>
                <w:bCs/>
                <w:lang w:val="en-US"/>
              </w:rPr>
              <w:t xml:space="preserve"> </w:t>
            </w:r>
            <w:r w:rsidRPr="00890DEA">
              <w:rPr>
                <w:rFonts w:ascii="Calibri" w:eastAsia="Calibri" w:hAnsi="Calibri" w:cs="Times New Roman"/>
                <w:lang w:val="en-US"/>
              </w:rPr>
              <w:t>recorded values closest in time to inclusion, within ± 6 h unless other time frame is specified).</w:t>
            </w:r>
          </w:p>
        </w:tc>
        <w:tc>
          <w:tcPr>
            <w:tcW w:w="6335" w:type="dxa"/>
            <w:tcBorders>
              <w:left w:val="single" w:sz="4" w:space="0" w:color="auto"/>
            </w:tcBorders>
          </w:tcPr>
          <w:p w14:paraId="4C803D30"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Body temperature (degree</w:t>
            </w:r>
            <w:r w:rsidRPr="002D1E29">
              <w:rPr>
                <w:rFonts w:ascii="Calibri" w:eastAsia="Calibri" w:hAnsi="Calibri" w:cs="Times New Roman"/>
              </w:rPr>
              <w:t>s</w:t>
            </w:r>
            <w:r w:rsidRPr="00A87470">
              <w:rPr>
                <w:rFonts w:ascii="Calibri" w:eastAsia="Calibri" w:hAnsi="Calibri" w:cs="Times New Roman"/>
              </w:rPr>
              <w:t xml:space="preserve"> Celsius)</w:t>
            </w:r>
          </w:p>
        </w:tc>
      </w:tr>
      <w:tr w:rsidR="00CA6F06" w:rsidRPr="00EB2848" w14:paraId="0BFF7D02" w14:textId="77777777" w:rsidTr="00EB2848">
        <w:trPr>
          <w:trHeight w:val="109"/>
        </w:trPr>
        <w:tc>
          <w:tcPr>
            <w:tcW w:w="2828" w:type="dxa"/>
            <w:vMerge/>
            <w:tcBorders>
              <w:top w:val="single" w:sz="4" w:space="0" w:color="auto"/>
              <w:left w:val="single" w:sz="4" w:space="0" w:color="auto"/>
              <w:right w:val="single" w:sz="4" w:space="0" w:color="auto"/>
            </w:tcBorders>
          </w:tcPr>
          <w:p w14:paraId="2A2DAB50" w14:textId="77777777" w:rsidR="00CA6F06" w:rsidRPr="002D1E29" w:rsidRDefault="00CA6F06" w:rsidP="00EB2848">
            <w:pPr>
              <w:rPr>
                <w:rFonts w:ascii="Calibri" w:eastAsia="Calibri" w:hAnsi="Calibri" w:cs="Times New Roman"/>
                <w:b/>
                <w:bCs/>
              </w:rPr>
            </w:pPr>
          </w:p>
        </w:tc>
        <w:tc>
          <w:tcPr>
            <w:tcW w:w="6335" w:type="dxa"/>
            <w:tcBorders>
              <w:left w:val="single" w:sz="4" w:space="0" w:color="auto"/>
            </w:tcBorders>
          </w:tcPr>
          <w:p w14:paraId="3511EEB6"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Simplified Acute Physiology Score (SAPS) 3</w:t>
            </w:r>
          </w:p>
        </w:tc>
      </w:tr>
      <w:tr w:rsidR="00CA6F06" w:rsidRPr="00EB2848" w14:paraId="09FD3DDE" w14:textId="77777777" w:rsidTr="00EB2848">
        <w:trPr>
          <w:trHeight w:val="109"/>
        </w:trPr>
        <w:tc>
          <w:tcPr>
            <w:tcW w:w="2828" w:type="dxa"/>
            <w:vMerge/>
            <w:tcBorders>
              <w:top w:val="single" w:sz="4" w:space="0" w:color="auto"/>
              <w:left w:val="single" w:sz="4" w:space="0" w:color="auto"/>
              <w:right w:val="single" w:sz="4" w:space="0" w:color="auto"/>
            </w:tcBorders>
          </w:tcPr>
          <w:p w14:paraId="636B74BD" w14:textId="77777777" w:rsidR="00CA6F06" w:rsidRPr="00890DEA" w:rsidRDefault="00CA6F06" w:rsidP="00EB2848">
            <w:pPr>
              <w:rPr>
                <w:rFonts w:ascii="Calibri" w:eastAsia="Calibri" w:hAnsi="Calibri" w:cs="Times New Roman"/>
                <w:b/>
                <w:bCs/>
                <w:lang w:val="en-US"/>
              </w:rPr>
            </w:pPr>
          </w:p>
        </w:tc>
        <w:tc>
          <w:tcPr>
            <w:tcW w:w="6335" w:type="dxa"/>
            <w:tcBorders>
              <w:left w:val="single" w:sz="4" w:space="0" w:color="auto"/>
            </w:tcBorders>
          </w:tcPr>
          <w:p w14:paraId="2C6A6DA6"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 xml:space="preserve">Sequential Organ Failure Assessment (SOFA) score </w:t>
            </w:r>
          </w:p>
        </w:tc>
      </w:tr>
      <w:tr w:rsidR="00CA6F06" w:rsidRPr="002D1E29" w14:paraId="0BEAC9BE" w14:textId="77777777" w:rsidTr="00EB2848">
        <w:trPr>
          <w:trHeight w:val="109"/>
        </w:trPr>
        <w:tc>
          <w:tcPr>
            <w:tcW w:w="2828" w:type="dxa"/>
            <w:vMerge/>
            <w:tcBorders>
              <w:top w:val="single" w:sz="4" w:space="0" w:color="auto"/>
              <w:left w:val="single" w:sz="4" w:space="0" w:color="auto"/>
              <w:right w:val="single" w:sz="4" w:space="0" w:color="auto"/>
            </w:tcBorders>
          </w:tcPr>
          <w:p w14:paraId="533B28D7" w14:textId="77777777" w:rsidR="00CA6F06" w:rsidRPr="00890DEA" w:rsidRDefault="00CA6F06" w:rsidP="00EB2848">
            <w:pPr>
              <w:rPr>
                <w:rFonts w:ascii="Calibri" w:eastAsia="Calibri" w:hAnsi="Calibri" w:cs="Times New Roman"/>
                <w:b/>
                <w:bCs/>
                <w:lang w:val="en-US"/>
              </w:rPr>
            </w:pPr>
          </w:p>
        </w:tc>
        <w:tc>
          <w:tcPr>
            <w:tcW w:w="6335" w:type="dxa"/>
            <w:tcBorders>
              <w:left w:val="single" w:sz="4" w:space="0" w:color="auto"/>
            </w:tcBorders>
          </w:tcPr>
          <w:p w14:paraId="1F9AACFB" w14:textId="77777777" w:rsidR="00CA6F06" w:rsidRPr="002D1E29" w:rsidRDefault="00CA6F06" w:rsidP="00EB2848">
            <w:pPr>
              <w:rPr>
                <w:rFonts w:ascii="Calibri" w:eastAsia="Calibri" w:hAnsi="Calibri" w:cs="Times New Roman"/>
              </w:rPr>
            </w:pPr>
            <w:r w:rsidRPr="00A87470">
              <w:rPr>
                <w:rFonts w:ascii="Calibri" w:eastAsia="Calibri" w:hAnsi="Calibri" w:cs="Times New Roman"/>
              </w:rPr>
              <w:t>Glasgow Coma Scale (GCS)</w:t>
            </w:r>
          </w:p>
        </w:tc>
      </w:tr>
      <w:tr w:rsidR="00CA6F06" w:rsidRPr="002D1E29" w14:paraId="1C520AFF" w14:textId="77777777" w:rsidTr="00EB2848">
        <w:trPr>
          <w:trHeight w:val="109"/>
        </w:trPr>
        <w:tc>
          <w:tcPr>
            <w:tcW w:w="2828" w:type="dxa"/>
            <w:vMerge/>
            <w:tcBorders>
              <w:top w:val="single" w:sz="4" w:space="0" w:color="auto"/>
              <w:left w:val="single" w:sz="4" w:space="0" w:color="auto"/>
              <w:right w:val="single" w:sz="4" w:space="0" w:color="auto"/>
            </w:tcBorders>
          </w:tcPr>
          <w:p w14:paraId="494A261C" w14:textId="77777777" w:rsidR="00CA6F06" w:rsidRPr="002D1E29" w:rsidRDefault="00CA6F06" w:rsidP="00EB2848">
            <w:pPr>
              <w:rPr>
                <w:rFonts w:ascii="Calibri" w:eastAsia="Calibri" w:hAnsi="Calibri" w:cs="Times New Roman"/>
                <w:b/>
                <w:bCs/>
              </w:rPr>
            </w:pPr>
          </w:p>
        </w:tc>
        <w:tc>
          <w:tcPr>
            <w:tcW w:w="6335" w:type="dxa"/>
            <w:tcBorders>
              <w:left w:val="single" w:sz="4" w:space="0" w:color="auto"/>
            </w:tcBorders>
          </w:tcPr>
          <w:p w14:paraId="3CA4E0D4" w14:textId="77777777" w:rsidR="00CA6F06" w:rsidRPr="002D1E29" w:rsidRDefault="00CA6F06" w:rsidP="00EB2848">
            <w:pPr>
              <w:rPr>
                <w:rFonts w:ascii="Calibri" w:eastAsia="Calibri" w:hAnsi="Calibri" w:cs="Times New Roman"/>
              </w:rPr>
            </w:pPr>
            <w:r w:rsidRPr="00A87470">
              <w:rPr>
                <w:rFonts w:ascii="Calibri" w:eastAsia="Calibri" w:hAnsi="Calibri" w:cs="Times New Roman"/>
              </w:rPr>
              <w:t>Creatinine (</w:t>
            </w:r>
            <w:r w:rsidRPr="00A87470">
              <w:rPr>
                <w:rFonts w:ascii="Calibri" w:eastAsia="Calibri" w:hAnsi="Calibri" w:cs="Calibri"/>
              </w:rPr>
              <w:t>μ</w:t>
            </w:r>
            <w:r w:rsidRPr="00A87470">
              <w:rPr>
                <w:rFonts w:ascii="Calibri" w:eastAsia="Calibri" w:hAnsi="Calibri" w:cs="Times New Roman"/>
              </w:rPr>
              <w:t>mol/L)</w:t>
            </w:r>
          </w:p>
        </w:tc>
      </w:tr>
      <w:tr w:rsidR="00CA6F06" w:rsidRPr="00EB2848" w14:paraId="5BAE0EB9" w14:textId="77777777" w:rsidTr="00EB2848">
        <w:trPr>
          <w:trHeight w:val="109"/>
        </w:trPr>
        <w:tc>
          <w:tcPr>
            <w:tcW w:w="2828" w:type="dxa"/>
            <w:vMerge/>
            <w:tcBorders>
              <w:top w:val="single" w:sz="4" w:space="0" w:color="auto"/>
              <w:left w:val="single" w:sz="4" w:space="0" w:color="auto"/>
              <w:right w:val="single" w:sz="4" w:space="0" w:color="auto"/>
            </w:tcBorders>
          </w:tcPr>
          <w:p w14:paraId="127C9448" w14:textId="77777777" w:rsidR="00CA6F06" w:rsidRPr="002D1E29" w:rsidRDefault="00CA6F06" w:rsidP="00EB2848">
            <w:pPr>
              <w:rPr>
                <w:rFonts w:ascii="Calibri" w:eastAsia="Calibri" w:hAnsi="Calibri" w:cs="Times New Roman"/>
                <w:b/>
                <w:bCs/>
              </w:rPr>
            </w:pPr>
          </w:p>
        </w:tc>
        <w:tc>
          <w:tcPr>
            <w:tcW w:w="6335" w:type="dxa"/>
            <w:tcBorders>
              <w:left w:val="single" w:sz="4" w:space="0" w:color="auto"/>
            </w:tcBorders>
          </w:tcPr>
          <w:p w14:paraId="5051581C"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Renal replacement therapy (Y/N)</w:t>
            </w:r>
          </w:p>
        </w:tc>
      </w:tr>
      <w:tr w:rsidR="00CA6F06" w:rsidRPr="00EB2848" w14:paraId="5DCF74A7" w14:textId="77777777" w:rsidTr="00EB2848">
        <w:trPr>
          <w:trHeight w:val="109"/>
        </w:trPr>
        <w:tc>
          <w:tcPr>
            <w:tcW w:w="2828" w:type="dxa"/>
            <w:vMerge/>
            <w:tcBorders>
              <w:top w:val="single" w:sz="4" w:space="0" w:color="auto"/>
              <w:left w:val="single" w:sz="4" w:space="0" w:color="auto"/>
              <w:right w:val="single" w:sz="4" w:space="0" w:color="auto"/>
            </w:tcBorders>
          </w:tcPr>
          <w:p w14:paraId="3F77C645" w14:textId="77777777" w:rsidR="00CA6F06" w:rsidRPr="00890DEA" w:rsidRDefault="00CA6F06" w:rsidP="00EB2848">
            <w:pPr>
              <w:rPr>
                <w:rFonts w:ascii="Calibri" w:eastAsia="Calibri" w:hAnsi="Calibri" w:cs="Times New Roman"/>
                <w:b/>
                <w:bCs/>
                <w:lang w:val="en-US"/>
              </w:rPr>
            </w:pPr>
          </w:p>
        </w:tc>
        <w:tc>
          <w:tcPr>
            <w:tcW w:w="6335" w:type="dxa"/>
            <w:tcBorders>
              <w:left w:val="single" w:sz="4" w:space="0" w:color="auto"/>
            </w:tcBorders>
          </w:tcPr>
          <w:p w14:paraId="70FE1097"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Urine output [hourly data extracted to 24 hrs], (ml/day)</w:t>
            </w:r>
          </w:p>
        </w:tc>
      </w:tr>
      <w:tr w:rsidR="00CA6F06" w:rsidRPr="002D1E29" w14:paraId="2B809CAB" w14:textId="77777777" w:rsidTr="00EB2848">
        <w:trPr>
          <w:trHeight w:val="109"/>
        </w:trPr>
        <w:tc>
          <w:tcPr>
            <w:tcW w:w="2828" w:type="dxa"/>
            <w:vMerge/>
            <w:tcBorders>
              <w:top w:val="single" w:sz="4" w:space="0" w:color="auto"/>
              <w:left w:val="single" w:sz="4" w:space="0" w:color="auto"/>
              <w:right w:val="single" w:sz="4" w:space="0" w:color="auto"/>
            </w:tcBorders>
          </w:tcPr>
          <w:p w14:paraId="7ABB17FC" w14:textId="77777777" w:rsidR="00CA6F06" w:rsidRPr="00890DEA" w:rsidRDefault="00CA6F06" w:rsidP="00EB2848">
            <w:pPr>
              <w:rPr>
                <w:rFonts w:ascii="Calibri" w:eastAsia="Calibri" w:hAnsi="Calibri" w:cs="Times New Roman"/>
                <w:b/>
                <w:bCs/>
                <w:lang w:val="en-US"/>
              </w:rPr>
            </w:pPr>
          </w:p>
        </w:tc>
        <w:tc>
          <w:tcPr>
            <w:tcW w:w="6335" w:type="dxa"/>
            <w:tcBorders>
              <w:left w:val="single" w:sz="4" w:space="0" w:color="auto"/>
            </w:tcBorders>
          </w:tcPr>
          <w:p w14:paraId="76941F45" w14:textId="77777777" w:rsidR="00CA6F06" w:rsidRPr="002D1E29" w:rsidRDefault="00CA6F06" w:rsidP="00EB2848">
            <w:pPr>
              <w:rPr>
                <w:rFonts w:ascii="Calibri" w:eastAsia="Calibri" w:hAnsi="Calibri" w:cs="Times New Roman"/>
              </w:rPr>
            </w:pPr>
            <w:r w:rsidRPr="00A87470">
              <w:rPr>
                <w:rFonts w:ascii="Calibri" w:eastAsia="Calibri" w:hAnsi="Calibri" w:cs="Times New Roman"/>
              </w:rPr>
              <w:t>Bilirubin (</w:t>
            </w:r>
            <w:r w:rsidRPr="00A87470">
              <w:rPr>
                <w:rFonts w:ascii="Calibri" w:eastAsia="Calibri" w:hAnsi="Calibri" w:cs="Calibri"/>
              </w:rPr>
              <w:t>μ</w:t>
            </w:r>
            <w:r w:rsidRPr="00A87470">
              <w:rPr>
                <w:rFonts w:ascii="Calibri" w:eastAsia="Calibri" w:hAnsi="Calibri" w:cs="Times New Roman"/>
              </w:rPr>
              <w:t>mol/L)</w:t>
            </w:r>
          </w:p>
        </w:tc>
      </w:tr>
      <w:tr w:rsidR="00CA6F06" w:rsidRPr="002D1E29" w14:paraId="62E59754" w14:textId="77777777" w:rsidTr="00EB2848">
        <w:trPr>
          <w:trHeight w:val="109"/>
        </w:trPr>
        <w:tc>
          <w:tcPr>
            <w:tcW w:w="2828" w:type="dxa"/>
            <w:vMerge/>
            <w:tcBorders>
              <w:top w:val="single" w:sz="4" w:space="0" w:color="auto"/>
              <w:left w:val="single" w:sz="4" w:space="0" w:color="auto"/>
              <w:right w:val="single" w:sz="4" w:space="0" w:color="auto"/>
            </w:tcBorders>
          </w:tcPr>
          <w:p w14:paraId="000716AE" w14:textId="77777777" w:rsidR="00CA6F06" w:rsidRPr="002D1E29" w:rsidRDefault="00CA6F06" w:rsidP="00EB2848">
            <w:pPr>
              <w:rPr>
                <w:rFonts w:ascii="Calibri" w:eastAsia="Calibri" w:hAnsi="Calibri" w:cs="Times New Roman"/>
                <w:b/>
                <w:bCs/>
              </w:rPr>
            </w:pPr>
          </w:p>
        </w:tc>
        <w:tc>
          <w:tcPr>
            <w:tcW w:w="6335" w:type="dxa"/>
            <w:tcBorders>
              <w:left w:val="single" w:sz="4" w:space="0" w:color="auto"/>
            </w:tcBorders>
          </w:tcPr>
          <w:p w14:paraId="2AFDBA6C" w14:textId="77777777" w:rsidR="00CA6F06" w:rsidRPr="002D1E29" w:rsidRDefault="00CA6F06" w:rsidP="00EB2848">
            <w:pPr>
              <w:rPr>
                <w:rFonts w:ascii="Calibri" w:eastAsia="Calibri" w:hAnsi="Calibri" w:cs="Times New Roman"/>
              </w:rPr>
            </w:pPr>
            <w:r w:rsidRPr="00A87470">
              <w:rPr>
                <w:rFonts w:ascii="Calibri" w:eastAsia="Calibri" w:hAnsi="Calibri" w:cs="Times New Roman"/>
              </w:rPr>
              <w:t>Platelet count (x10</w:t>
            </w:r>
            <w:r w:rsidRPr="00A87470">
              <w:rPr>
                <w:rFonts w:ascii="Calibri" w:eastAsia="Calibri" w:hAnsi="Calibri" w:cs="Times New Roman"/>
                <w:vertAlign w:val="superscript"/>
              </w:rPr>
              <w:t>9</w:t>
            </w:r>
            <w:r w:rsidRPr="00A87470">
              <w:rPr>
                <w:rFonts w:ascii="Calibri" w:eastAsia="Calibri" w:hAnsi="Calibri" w:cs="Times New Roman"/>
              </w:rPr>
              <w:t>/ml)</w:t>
            </w:r>
          </w:p>
        </w:tc>
      </w:tr>
      <w:tr w:rsidR="00CA6F06" w:rsidRPr="002D1E29" w14:paraId="1BA0B8F0" w14:textId="77777777" w:rsidTr="00EB2848">
        <w:tc>
          <w:tcPr>
            <w:tcW w:w="2828" w:type="dxa"/>
            <w:vMerge/>
            <w:tcBorders>
              <w:left w:val="single" w:sz="4" w:space="0" w:color="auto"/>
              <w:right w:val="single" w:sz="4" w:space="0" w:color="auto"/>
            </w:tcBorders>
          </w:tcPr>
          <w:p w14:paraId="1CEB4DAE" w14:textId="77777777" w:rsidR="00CA6F06" w:rsidRPr="00A87470" w:rsidRDefault="00CA6F06" w:rsidP="00EB2848">
            <w:pPr>
              <w:rPr>
                <w:rFonts w:ascii="Calibri" w:eastAsia="Calibri" w:hAnsi="Calibri" w:cs="Times New Roman"/>
                <w:b/>
                <w:bCs/>
              </w:rPr>
            </w:pPr>
          </w:p>
        </w:tc>
        <w:tc>
          <w:tcPr>
            <w:tcW w:w="6335" w:type="dxa"/>
            <w:tcBorders>
              <w:left w:val="single" w:sz="4" w:space="0" w:color="auto"/>
            </w:tcBorders>
          </w:tcPr>
          <w:p w14:paraId="0A0FCFBA"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Mean arterial pressure (mmHg)</w:t>
            </w:r>
          </w:p>
        </w:tc>
      </w:tr>
      <w:tr w:rsidR="00CA6F06" w:rsidRPr="002D1E29" w14:paraId="05C3A681" w14:textId="77777777" w:rsidTr="00EB2848">
        <w:tc>
          <w:tcPr>
            <w:tcW w:w="2828" w:type="dxa"/>
            <w:vMerge/>
            <w:tcBorders>
              <w:left w:val="single" w:sz="4" w:space="0" w:color="auto"/>
              <w:right w:val="single" w:sz="4" w:space="0" w:color="auto"/>
            </w:tcBorders>
          </w:tcPr>
          <w:p w14:paraId="7FE382A9"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5618856E"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Systolic pressure (mmHg)</w:t>
            </w:r>
          </w:p>
        </w:tc>
      </w:tr>
      <w:tr w:rsidR="00CA6F06" w:rsidRPr="00EB2848" w14:paraId="571564CB" w14:textId="77777777" w:rsidTr="00EB2848">
        <w:tc>
          <w:tcPr>
            <w:tcW w:w="2828" w:type="dxa"/>
            <w:vMerge/>
            <w:tcBorders>
              <w:left w:val="single" w:sz="4" w:space="0" w:color="auto"/>
              <w:right w:val="single" w:sz="4" w:space="0" w:color="auto"/>
            </w:tcBorders>
          </w:tcPr>
          <w:p w14:paraId="3DD758AA"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09713546"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Type of vasoactive drugs (noradrenaline, adrenaline, vasopressin, dobutamine, dopamine, levosimendan, milrinone, angiotensin II, or other)</w:t>
            </w:r>
          </w:p>
        </w:tc>
      </w:tr>
      <w:tr w:rsidR="00CA6F06" w:rsidRPr="00EB2848" w14:paraId="4BA2E1CC" w14:textId="77777777" w:rsidTr="00EB2848">
        <w:tc>
          <w:tcPr>
            <w:tcW w:w="2828" w:type="dxa"/>
            <w:vMerge/>
            <w:tcBorders>
              <w:left w:val="single" w:sz="4" w:space="0" w:color="auto"/>
              <w:right w:val="single" w:sz="4" w:space="0" w:color="auto"/>
            </w:tcBorders>
          </w:tcPr>
          <w:p w14:paraId="6AC89995"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2CB8E12A" w14:textId="77777777" w:rsidR="00CA6F06" w:rsidRPr="004E1B23" w:rsidRDefault="00CA6F06" w:rsidP="00EB2848">
            <w:pPr>
              <w:rPr>
                <w:rFonts w:ascii="Calibri" w:eastAsia="Calibri" w:hAnsi="Calibri" w:cs="Times New Roman"/>
                <w:lang w:val="en-US"/>
              </w:rPr>
            </w:pPr>
            <w:r w:rsidRPr="004E1B23">
              <w:rPr>
                <w:rFonts w:ascii="Calibri" w:eastAsia="Calibri" w:hAnsi="Calibri" w:cs="Times New Roman"/>
                <w:lang w:val="en-US"/>
              </w:rPr>
              <w:t>Noradrenaline dose (highest dose in the 6 hours prior</w:t>
            </w:r>
            <w:r w:rsidRPr="002D1E29">
              <w:rPr>
                <w:rFonts w:ascii="Calibri" w:eastAsia="Calibri" w:hAnsi="Calibri" w:cs="Times New Roman"/>
                <w:lang w:val="en-US"/>
              </w:rPr>
              <w:t xml:space="preserve"> to enrollment; </w:t>
            </w:r>
            <w:r w:rsidRPr="00A87470">
              <w:rPr>
                <w:rFonts w:ascii="Calibri" w:eastAsia="Calibri" w:hAnsi="Calibri" w:cs="Calibri"/>
              </w:rPr>
              <w:t>μ</w:t>
            </w:r>
            <w:r w:rsidRPr="004E1B23">
              <w:rPr>
                <w:rFonts w:ascii="Calibri" w:eastAsia="Calibri" w:hAnsi="Calibri" w:cs="Calibri"/>
                <w:lang w:val="en-US"/>
              </w:rPr>
              <w:t>g/kg/min)</w:t>
            </w:r>
          </w:p>
        </w:tc>
      </w:tr>
      <w:tr w:rsidR="00CA6F06" w:rsidRPr="002D1E29" w14:paraId="0A68ED48" w14:textId="77777777" w:rsidTr="00EB2848">
        <w:tc>
          <w:tcPr>
            <w:tcW w:w="2828" w:type="dxa"/>
            <w:vMerge/>
            <w:tcBorders>
              <w:left w:val="single" w:sz="4" w:space="0" w:color="auto"/>
              <w:right w:val="single" w:sz="4" w:space="0" w:color="auto"/>
            </w:tcBorders>
          </w:tcPr>
          <w:p w14:paraId="42BD2B45" w14:textId="77777777" w:rsidR="00CA6F06" w:rsidRPr="004E1B23" w:rsidRDefault="00CA6F06" w:rsidP="00EB2848">
            <w:pPr>
              <w:rPr>
                <w:rFonts w:ascii="Calibri" w:eastAsia="Calibri" w:hAnsi="Calibri" w:cs="Times New Roman"/>
                <w:lang w:val="en-US"/>
              </w:rPr>
            </w:pPr>
          </w:p>
        </w:tc>
        <w:tc>
          <w:tcPr>
            <w:tcW w:w="6335" w:type="dxa"/>
            <w:tcBorders>
              <w:left w:val="single" w:sz="4" w:space="0" w:color="auto"/>
            </w:tcBorders>
          </w:tcPr>
          <w:p w14:paraId="6E31DFF0" w14:textId="77777777" w:rsidR="00CA6F06" w:rsidRPr="00A87470" w:rsidRDefault="00CA6F06" w:rsidP="00EB2848">
            <w:pPr>
              <w:contextualSpacing/>
              <w:rPr>
                <w:rFonts w:ascii="Calibri" w:eastAsia="Calibri" w:hAnsi="Calibri" w:cs="Times New Roman"/>
              </w:rPr>
            </w:pPr>
            <w:r w:rsidRPr="00A87470">
              <w:rPr>
                <w:rFonts w:ascii="Calibri" w:eastAsia="Calibri" w:hAnsi="Calibri" w:cs="Times New Roman"/>
              </w:rPr>
              <w:t>Atrial fibrillation/flutter (Y/N)</w:t>
            </w:r>
          </w:p>
        </w:tc>
      </w:tr>
      <w:tr w:rsidR="00CA6F06" w:rsidRPr="002D1E29" w14:paraId="1F640C83" w14:textId="77777777" w:rsidTr="00EB2848">
        <w:tc>
          <w:tcPr>
            <w:tcW w:w="2828" w:type="dxa"/>
            <w:vMerge/>
            <w:tcBorders>
              <w:left w:val="single" w:sz="4" w:space="0" w:color="auto"/>
              <w:right w:val="single" w:sz="4" w:space="0" w:color="auto"/>
            </w:tcBorders>
          </w:tcPr>
          <w:p w14:paraId="766396A1"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65969685"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Ischemic events (Y/N), if yes, specify:</w:t>
            </w:r>
          </w:p>
          <w:p w14:paraId="5D196C38"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Limb</w:t>
            </w:r>
          </w:p>
          <w:p w14:paraId="33597C82"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Cerebral</w:t>
            </w:r>
          </w:p>
          <w:p w14:paraId="0B0A4ABE"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Heart</w:t>
            </w:r>
          </w:p>
          <w:p w14:paraId="24E20164"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Intestine</w:t>
            </w:r>
          </w:p>
          <w:p w14:paraId="0D5C0CCF"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(Criteria described above)</w:t>
            </w:r>
          </w:p>
        </w:tc>
      </w:tr>
      <w:tr w:rsidR="00CA6F06" w:rsidRPr="002D1E29" w14:paraId="6261A4E0" w14:textId="77777777" w:rsidTr="00EB2848">
        <w:tc>
          <w:tcPr>
            <w:tcW w:w="2828" w:type="dxa"/>
            <w:vMerge/>
            <w:tcBorders>
              <w:left w:val="single" w:sz="4" w:space="0" w:color="auto"/>
              <w:right w:val="single" w:sz="4" w:space="0" w:color="auto"/>
            </w:tcBorders>
          </w:tcPr>
          <w:p w14:paraId="5C40B09D"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38C46BA0"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Heart rate (bpm)</w:t>
            </w:r>
          </w:p>
        </w:tc>
      </w:tr>
      <w:tr w:rsidR="00CA6F06" w:rsidRPr="00EB2848" w14:paraId="3F70CC4E" w14:textId="77777777" w:rsidTr="00EB2848">
        <w:tc>
          <w:tcPr>
            <w:tcW w:w="2828" w:type="dxa"/>
            <w:vMerge/>
            <w:tcBorders>
              <w:left w:val="single" w:sz="4" w:space="0" w:color="auto"/>
              <w:right w:val="single" w:sz="4" w:space="0" w:color="auto"/>
            </w:tcBorders>
          </w:tcPr>
          <w:p w14:paraId="56FF17B7"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133DA85E"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Ventilatory support (nasal catheter, nasal high flow oxygen, Hudson mask or similar, reservoir mask, non-invasive mechanical ventilation, invasive mechanical ventilation, or none)</w:t>
            </w:r>
          </w:p>
        </w:tc>
      </w:tr>
      <w:tr w:rsidR="00CA6F06" w:rsidRPr="002D1E29" w14:paraId="13DC1555" w14:textId="77777777" w:rsidTr="00EB2848">
        <w:tc>
          <w:tcPr>
            <w:tcW w:w="2828" w:type="dxa"/>
            <w:vMerge/>
            <w:tcBorders>
              <w:left w:val="single" w:sz="4" w:space="0" w:color="auto"/>
              <w:right w:val="single" w:sz="4" w:space="0" w:color="auto"/>
            </w:tcBorders>
          </w:tcPr>
          <w:p w14:paraId="655AA1FA"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6104E543"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CRP (g/L)</w:t>
            </w:r>
          </w:p>
        </w:tc>
      </w:tr>
      <w:tr w:rsidR="00CA6F06" w:rsidRPr="002D1E29" w14:paraId="4D8835FB" w14:textId="77777777" w:rsidTr="00EB2848">
        <w:tc>
          <w:tcPr>
            <w:tcW w:w="2828" w:type="dxa"/>
            <w:vMerge/>
            <w:tcBorders>
              <w:left w:val="single" w:sz="4" w:space="0" w:color="auto"/>
              <w:right w:val="single" w:sz="4" w:space="0" w:color="auto"/>
            </w:tcBorders>
          </w:tcPr>
          <w:p w14:paraId="7D2B171F"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7922F7C5"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Albumin (g/L)</w:t>
            </w:r>
          </w:p>
        </w:tc>
      </w:tr>
      <w:tr w:rsidR="00CA6F06" w:rsidRPr="002D1E29" w14:paraId="7E28B449" w14:textId="77777777" w:rsidTr="00EB2848">
        <w:tc>
          <w:tcPr>
            <w:tcW w:w="2828" w:type="dxa"/>
            <w:vMerge/>
            <w:tcBorders>
              <w:left w:val="single" w:sz="4" w:space="0" w:color="auto"/>
              <w:right w:val="single" w:sz="4" w:space="0" w:color="auto"/>
            </w:tcBorders>
          </w:tcPr>
          <w:p w14:paraId="7D8BA9EF"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shd w:val="clear" w:color="auto" w:fill="auto"/>
          </w:tcPr>
          <w:p w14:paraId="72032829"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Leucocytes (x10</w:t>
            </w:r>
            <w:r w:rsidRPr="00A87470">
              <w:rPr>
                <w:rFonts w:ascii="Calibri" w:eastAsia="Calibri" w:hAnsi="Calibri" w:cs="Times New Roman"/>
                <w:vertAlign w:val="superscript"/>
              </w:rPr>
              <w:t>9</w:t>
            </w:r>
            <w:r w:rsidRPr="00A87470">
              <w:rPr>
                <w:rFonts w:ascii="Calibri" w:eastAsia="Calibri" w:hAnsi="Calibri" w:cs="Times New Roman"/>
              </w:rPr>
              <w:t xml:space="preserve"> cells/L)</w:t>
            </w:r>
          </w:p>
        </w:tc>
      </w:tr>
      <w:tr w:rsidR="00CA6F06" w:rsidRPr="002D1E29" w14:paraId="16B68265" w14:textId="77777777" w:rsidTr="00EB2848">
        <w:tc>
          <w:tcPr>
            <w:tcW w:w="2828" w:type="dxa"/>
            <w:vMerge/>
            <w:tcBorders>
              <w:left w:val="single" w:sz="4" w:space="0" w:color="auto"/>
              <w:right w:val="single" w:sz="4" w:space="0" w:color="auto"/>
            </w:tcBorders>
          </w:tcPr>
          <w:p w14:paraId="7A995D69"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68A17FF3"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Haemoglobin (g/L)</w:t>
            </w:r>
          </w:p>
        </w:tc>
      </w:tr>
      <w:tr w:rsidR="00CA6F06" w:rsidRPr="002D1E29" w14:paraId="5E88B911" w14:textId="77777777" w:rsidTr="00EB2848">
        <w:tc>
          <w:tcPr>
            <w:tcW w:w="2828" w:type="dxa"/>
            <w:vMerge/>
            <w:tcBorders>
              <w:left w:val="single" w:sz="4" w:space="0" w:color="auto"/>
              <w:right w:val="single" w:sz="4" w:space="0" w:color="auto"/>
            </w:tcBorders>
          </w:tcPr>
          <w:p w14:paraId="72B50C7E"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26AD39A2"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Potassium (mmol/L)</w:t>
            </w:r>
          </w:p>
        </w:tc>
      </w:tr>
      <w:tr w:rsidR="00CA6F06" w:rsidRPr="002D1E29" w14:paraId="16CF029A" w14:textId="77777777" w:rsidTr="00EB2848">
        <w:tc>
          <w:tcPr>
            <w:tcW w:w="2828" w:type="dxa"/>
            <w:vMerge/>
            <w:tcBorders>
              <w:left w:val="single" w:sz="4" w:space="0" w:color="auto"/>
              <w:right w:val="single" w:sz="4" w:space="0" w:color="auto"/>
            </w:tcBorders>
          </w:tcPr>
          <w:p w14:paraId="3E30AA60"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6C04FF9C"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Sodium (mmol/L)</w:t>
            </w:r>
          </w:p>
        </w:tc>
      </w:tr>
      <w:tr w:rsidR="00CA6F06" w:rsidRPr="002D1E29" w14:paraId="595ACF4F" w14:textId="77777777" w:rsidTr="00EB2848">
        <w:tc>
          <w:tcPr>
            <w:tcW w:w="2828" w:type="dxa"/>
            <w:vMerge/>
            <w:tcBorders>
              <w:left w:val="single" w:sz="4" w:space="0" w:color="auto"/>
              <w:right w:val="single" w:sz="4" w:space="0" w:color="auto"/>
            </w:tcBorders>
          </w:tcPr>
          <w:p w14:paraId="1EA39C66"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05B3AF5A"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Chloride (mmol/L)</w:t>
            </w:r>
          </w:p>
        </w:tc>
      </w:tr>
      <w:tr w:rsidR="00CA6F06" w:rsidRPr="002D1E29" w14:paraId="00FC2C50" w14:textId="77777777" w:rsidTr="00EB2848">
        <w:tc>
          <w:tcPr>
            <w:tcW w:w="2828" w:type="dxa"/>
            <w:vMerge/>
            <w:tcBorders>
              <w:left w:val="single" w:sz="4" w:space="0" w:color="auto"/>
              <w:right w:val="single" w:sz="4" w:space="0" w:color="auto"/>
            </w:tcBorders>
          </w:tcPr>
          <w:p w14:paraId="0BCFEBB5"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429248B5" w14:textId="77777777" w:rsidR="00CA6F06" w:rsidRPr="002D1E29" w:rsidRDefault="00CA6F06" w:rsidP="00EB2848">
            <w:pPr>
              <w:rPr>
                <w:rFonts w:ascii="Calibri" w:eastAsia="Calibri" w:hAnsi="Calibri" w:cs="Times New Roman"/>
              </w:rPr>
            </w:pPr>
            <w:r w:rsidRPr="002D1E29">
              <w:rPr>
                <w:rFonts w:ascii="Calibri" w:eastAsia="Calibri" w:hAnsi="Calibri" w:cs="Times New Roman"/>
              </w:rPr>
              <w:t>Blood glucose (mmol/L)</w:t>
            </w:r>
          </w:p>
        </w:tc>
      </w:tr>
      <w:tr w:rsidR="00CA6F06" w:rsidRPr="00EB2848" w14:paraId="7D417C06" w14:textId="77777777" w:rsidTr="00EB2848">
        <w:tc>
          <w:tcPr>
            <w:tcW w:w="2828" w:type="dxa"/>
            <w:vMerge/>
            <w:tcBorders>
              <w:left w:val="single" w:sz="4" w:space="0" w:color="auto"/>
              <w:right w:val="single" w:sz="4" w:space="0" w:color="auto"/>
            </w:tcBorders>
          </w:tcPr>
          <w:p w14:paraId="653CA365"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62554B95"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Plasma lactate [Highest value at any time while the patient is in the ICU and receiving vasopressors] (mmol/L)</w:t>
            </w:r>
          </w:p>
        </w:tc>
      </w:tr>
      <w:tr w:rsidR="00CA6F06" w:rsidRPr="002D1E29" w14:paraId="6CEBF511" w14:textId="77777777" w:rsidTr="00EB2848">
        <w:tc>
          <w:tcPr>
            <w:tcW w:w="2828" w:type="dxa"/>
            <w:vMerge/>
            <w:tcBorders>
              <w:left w:val="single" w:sz="4" w:space="0" w:color="auto"/>
              <w:right w:val="single" w:sz="4" w:space="0" w:color="auto"/>
            </w:tcBorders>
          </w:tcPr>
          <w:p w14:paraId="543FFDC5"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35F757B1" w14:textId="77777777" w:rsidR="00CA6F06" w:rsidRPr="002D1E29" w:rsidRDefault="00CA6F06" w:rsidP="00EB2848">
            <w:pPr>
              <w:rPr>
                <w:rFonts w:ascii="Calibri" w:eastAsia="Calibri" w:hAnsi="Calibri" w:cs="Times New Roman"/>
              </w:rPr>
            </w:pPr>
            <w:r w:rsidRPr="002D1E29">
              <w:rPr>
                <w:rFonts w:ascii="Calibri" w:eastAsia="Calibri" w:hAnsi="Calibri" w:cs="Times New Roman"/>
              </w:rPr>
              <w:t>FiO2 (%)</w:t>
            </w:r>
          </w:p>
        </w:tc>
      </w:tr>
      <w:tr w:rsidR="00CA6F06" w:rsidRPr="002D1E29" w14:paraId="7686C2BF" w14:textId="77777777" w:rsidTr="00EB2848">
        <w:tc>
          <w:tcPr>
            <w:tcW w:w="2828" w:type="dxa"/>
            <w:vMerge/>
            <w:tcBorders>
              <w:left w:val="single" w:sz="4" w:space="0" w:color="auto"/>
              <w:right w:val="single" w:sz="4" w:space="0" w:color="auto"/>
            </w:tcBorders>
          </w:tcPr>
          <w:p w14:paraId="3325903A"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431ACF12" w14:textId="77777777" w:rsidR="00CA6F06" w:rsidRPr="002D1E29" w:rsidRDefault="00CA6F06" w:rsidP="00EB2848">
            <w:pPr>
              <w:rPr>
                <w:rFonts w:ascii="Calibri" w:eastAsia="Calibri" w:hAnsi="Calibri" w:cs="Times New Roman"/>
              </w:rPr>
            </w:pPr>
            <w:r w:rsidRPr="002D1E29">
              <w:rPr>
                <w:rFonts w:ascii="Calibri" w:eastAsia="Calibri" w:hAnsi="Calibri" w:cs="Times New Roman"/>
              </w:rPr>
              <w:t>PaO2 (kPa)</w:t>
            </w:r>
          </w:p>
        </w:tc>
      </w:tr>
      <w:tr w:rsidR="00CA6F06" w:rsidRPr="002D1E29" w14:paraId="49B2B97D" w14:textId="77777777" w:rsidTr="00EB2848">
        <w:tc>
          <w:tcPr>
            <w:tcW w:w="2828" w:type="dxa"/>
            <w:vMerge/>
            <w:tcBorders>
              <w:left w:val="single" w:sz="4" w:space="0" w:color="auto"/>
              <w:right w:val="single" w:sz="4" w:space="0" w:color="auto"/>
            </w:tcBorders>
          </w:tcPr>
          <w:p w14:paraId="2AEA1818"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71AB0A30" w14:textId="77777777" w:rsidR="00CA6F06" w:rsidRPr="002D1E29" w:rsidRDefault="00CA6F06" w:rsidP="00EB2848">
            <w:pPr>
              <w:rPr>
                <w:rFonts w:ascii="Calibri" w:eastAsia="Calibri" w:hAnsi="Calibri" w:cs="Times New Roman"/>
              </w:rPr>
            </w:pPr>
            <w:r w:rsidRPr="002D1E29">
              <w:rPr>
                <w:rFonts w:ascii="Calibri" w:eastAsia="Calibri" w:hAnsi="Calibri" w:cs="Times New Roman"/>
              </w:rPr>
              <w:t>PaCO2 (kPa</w:t>
            </w:r>
          </w:p>
        </w:tc>
      </w:tr>
      <w:tr w:rsidR="00CA6F06" w:rsidRPr="002D1E29" w14:paraId="79B2FAD1" w14:textId="77777777" w:rsidTr="00EB2848">
        <w:tc>
          <w:tcPr>
            <w:tcW w:w="2828" w:type="dxa"/>
            <w:vMerge/>
            <w:tcBorders>
              <w:left w:val="single" w:sz="4" w:space="0" w:color="auto"/>
              <w:right w:val="single" w:sz="4" w:space="0" w:color="auto"/>
            </w:tcBorders>
          </w:tcPr>
          <w:p w14:paraId="6882D988" w14:textId="77777777" w:rsidR="00CA6F06" w:rsidRPr="002D1E29" w:rsidRDefault="00CA6F06" w:rsidP="00EB2848">
            <w:pPr>
              <w:rPr>
                <w:rFonts w:ascii="Calibri" w:eastAsia="Calibri" w:hAnsi="Calibri" w:cs="Times New Roman"/>
              </w:rPr>
            </w:pPr>
          </w:p>
        </w:tc>
        <w:tc>
          <w:tcPr>
            <w:tcW w:w="6335" w:type="dxa"/>
            <w:tcBorders>
              <w:left w:val="single" w:sz="4" w:space="0" w:color="auto"/>
            </w:tcBorders>
          </w:tcPr>
          <w:p w14:paraId="7EE03089" w14:textId="77777777" w:rsidR="00CA6F06" w:rsidRPr="002D1E29" w:rsidRDefault="00CA6F06" w:rsidP="00EB2848">
            <w:pPr>
              <w:rPr>
                <w:rFonts w:ascii="Calibri" w:eastAsia="Calibri" w:hAnsi="Calibri" w:cs="Times New Roman"/>
              </w:rPr>
            </w:pPr>
            <w:r w:rsidRPr="002D1E29">
              <w:rPr>
                <w:rFonts w:ascii="Calibri" w:eastAsia="Calibri" w:hAnsi="Calibri" w:cs="Times New Roman"/>
              </w:rPr>
              <w:t>pH</w:t>
            </w:r>
          </w:p>
        </w:tc>
      </w:tr>
      <w:tr w:rsidR="00CA6F06" w:rsidRPr="00EB2848" w14:paraId="023ECCEF" w14:textId="77777777" w:rsidTr="00EB2848">
        <w:tc>
          <w:tcPr>
            <w:tcW w:w="2828" w:type="dxa"/>
            <w:vMerge/>
            <w:tcBorders>
              <w:left w:val="single" w:sz="4" w:space="0" w:color="auto"/>
              <w:right w:val="single" w:sz="4" w:space="0" w:color="auto"/>
            </w:tcBorders>
          </w:tcPr>
          <w:p w14:paraId="624D184A"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42A9AC2B"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Base excess (BE, mEq/L)</w:t>
            </w:r>
          </w:p>
        </w:tc>
      </w:tr>
      <w:tr w:rsidR="00CA6F06" w:rsidRPr="002D1E29" w14:paraId="0137B31A" w14:textId="77777777" w:rsidTr="00EB2848">
        <w:tc>
          <w:tcPr>
            <w:tcW w:w="2828" w:type="dxa"/>
            <w:vMerge w:val="restart"/>
            <w:tcBorders>
              <w:top w:val="single" w:sz="4" w:space="0" w:color="auto"/>
              <w:left w:val="single" w:sz="4" w:space="0" w:color="auto"/>
              <w:right w:val="single" w:sz="4" w:space="0" w:color="auto"/>
            </w:tcBorders>
          </w:tcPr>
          <w:p w14:paraId="3E48A219" w14:textId="77777777" w:rsidR="00CA6F06" w:rsidRPr="00890DEA" w:rsidRDefault="00CA6F06" w:rsidP="00EB2848">
            <w:pPr>
              <w:rPr>
                <w:rFonts w:ascii="Calibri" w:eastAsia="Calibri" w:hAnsi="Calibri" w:cs="Times New Roman"/>
                <w:b/>
                <w:bCs/>
                <w:lang w:val="en-US"/>
              </w:rPr>
            </w:pPr>
            <w:r w:rsidRPr="00890DEA">
              <w:rPr>
                <w:rFonts w:ascii="Calibri" w:eastAsia="Calibri" w:hAnsi="Calibri" w:cs="Times New Roman"/>
                <w:b/>
                <w:bCs/>
                <w:lang w:val="en-US"/>
              </w:rPr>
              <w:t>Fluid administration variables prior to inclusion</w:t>
            </w:r>
          </w:p>
        </w:tc>
        <w:tc>
          <w:tcPr>
            <w:tcW w:w="6335" w:type="dxa"/>
            <w:tcBorders>
              <w:top w:val="single" w:sz="4" w:space="0" w:color="auto"/>
              <w:left w:val="single" w:sz="4" w:space="0" w:color="auto"/>
              <w:bottom w:val="nil"/>
              <w:right w:val="single" w:sz="4" w:space="0" w:color="auto"/>
            </w:tcBorders>
          </w:tcPr>
          <w:p w14:paraId="037F788C"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Resuscitation fluids in the 24 hrs prior to inclusion</w:t>
            </w:r>
          </w:p>
          <w:p w14:paraId="4C4046B6"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Crystalloids administered to correct hemodynamic impairment as noted in the patient chart or given at a rate&gt; 5 ml/kg/h (specify)</w:t>
            </w:r>
          </w:p>
          <w:p w14:paraId="58E58244" w14:textId="77777777" w:rsidR="00CA6F06" w:rsidRPr="00A87470" w:rsidRDefault="00CA6F06" w:rsidP="00CA6F06">
            <w:pPr>
              <w:numPr>
                <w:ilvl w:val="0"/>
                <w:numId w:val="9"/>
              </w:numPr>
              <w:spacing w:line="240" w:lineRule="auto"/>
              <w:contextualSpacing/>
              <w:rPr>
                <w:rFonts w:ascii="Calibri" w:eastAsia="Calibri" w:hAnsi="Calibri" w:cs="Times New Roman"/>
              </w:rPr>
            </w:pPr>
            <w:r w:rsidRPr="00A87470">
              <w:rPr>
                <w:rFonts w:ascii="Calibri" w:eastAsia="Calibri" w:hAnsi="Calibri" w:cs="Times New Roman"/>
              </w:rPr>
              <w:t>Ringer</w:t>
            </w:r>
            <w:r w:rsidRPr="002D1E29">
              <w:rPr>
                <w:rFonts w:ascii="Calibri" w:eastAsia="Calibri" w:hAnsi="Calibri" w:cs="Times New Roman"/>
              </w:rPr>
              <w:t>’</w:t>
            </w:r>
            <w:r w:rsidRPr="00A87470">
              <w:rPr>
                <w:rFonts w:ascii="Calibri" w:eastAsia="Calibri" w:hAnsi="Calibri" w:cs="Times New Roman"/>
              </w:rPr>
              <w:t>s acetate/lactate (ml)</w:t>
            </w:r>
          </w:p>
          <w:p w14:paraId="77C355D9" w14:textId="77777777" w:rsidR="00CA6F06" w:rsidRPr="002D1E29" w:rsidRDefault="00CA6F06" w:rsidP="00CA6F06">
            <w:pPr>
              <w:numPr>
                <w:ilvl w:val="0"/>
                <w:numId w:val="9"/>
              </w:numPr>
              <w:spacing w:line="240" w:lineRule="auto"/>
              <w:contextualSpacing/>
              <w:rPr>
                <w:rFonts w:ascii="Calibri" w:eastAsia="Calibri" w:hAnsi="Calibri" w:cs="Times New Roman"/>
              </w:rPr>
            </w:pPr>
            <w:r w:rsidRPr="00A87470">
              <w:rPr>
                <w:rFonts w:ascii="Calibri" w:eastAsia="Calibri" w:hAnsi="Calibri" w:cs="Times New Roman"/>
              </w:rPr>
              <w:t>0.9% NaCl (ml)</w:t>
            </w:r>
          </w:p>
          <w:p w14:paraId="1BC15C4C" w14:textId="77777777" w:rsidR="00CA6F06" w:rsidRPr="002D1E29" w:rsidRDefault="00CA6F06" w:rsidP="00CA6F06">
            <w:pPr>
              <w:numPr>
                <w:ilvl w:val="0"/>
                <w:numId w:val="9"/>
              </w:numPr>
              <w:spacing w:line="240" w:lineRule="auto"/>
              <w:contextualSpacing/>
              <w:rPr>
                <w:rFonts w:ascii="Calibri" w:eastAsia="Calibri" w:hAnsi="Calibri" w:cs="Times New Roman"/>
              </w:rPr>
            </w:pPr>
            <w:r w:rsidRPr="00A87470">
              <w:rPr>
                <w:rFonts w:ascii="Calibri" w:eastAsia="Calibri" w:hAnsi="Calibri" w:cs="Times New Roman"/>
              </w:rPr>
              <w:t>Other (ml)</w:t>
            </w:r>
          </w:p>
          <w:p w14:paraId="63FE89D4"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Colloids (specify)</w:t>
            </w:r>
          </w:p>
          <w:p w14:paraId="36FA6907" w14:textId="77777777" w:rsidR="00CA6F06" w:rsidRPr="00A87470" w:rsidRDefault="00CA6F06" w:rsidP="00CA6F06">
            <w:pPr>
              <w:numPr>
                <w:ilvl w:val="0"/>
                <w:numId w:val="8"/>
              </w:numPr>
              <w:spacing w:line="240" w:lineRule="auto"/>
              <w:contextualSpacing/>
              <w:rPr>
                <w:rFonts w:ascii="Calibri" w:eastAsia="Calibri" w:hAnsi="Calibri" w:cs="Times New Roman"/>
              </w:rPr>
            </w:pPr>
            <w:r w:rsidRPr="00A87470">
              <w:rPr>
                <w:rFonts w:ascii="Calibri" w:eastAsia="Calibri" w:hAnsi="Calibri" w:cs="Times New Roman"/>
              </w:rPr>
              <w:t>Albumin 4-5% (ml)</w:t>
            </w:r>
          </w:p>
          <w:p w14:paraId="3F9BF14F" w14:textId="77777777" w:rsidR="00CA6F06" w:rsidRPr="00A87470" w:rsidRDefault="00CA6F06" w:rsidP="00CA6F06">
            <w:pPr>
              <w:numPr>
                <w:ilvl w:val="0"/>
                <w:numId w:val="8"/>
              </w:numPr>
              <w:spacing w:line="240" w:lineRule="auto"/>
              <w:contextualSpacing/>
              <w:rPr>
                <w:rFonts w:ascii="Calibri" w:eastAsia="Calibri" w:hAnsi="Calibri" w:cs="Times New Roman"/>
              </w:rPr>
            </w:pPr>
            <w:r w:rsidRPr="00A87470">
              <w:rPr>
                <w:rFonts w:ascii="Calibri" w:eastAsia="Calibri" w:hAnsi="Calibri" w:cs="Times New Roman"/>
              </w:rPr>
              <w:t>Albumin 20% (ml)</w:t>
            </w:r>
          </w:p>
          <w:p w14:paraId="5C852D47" w14:textId="77777777" w:rsidR="00CA6F06" w:rsidRPr="00A87470" w:rsidRDefault="00CA6F06" w:rsidP="00CA6F06">
            <w:pPr>
              <w:numPr>
                <w:ilvl w:val="0"/>
                <w:numId w:val="8"/>
              </w:numPr>
              <w:spacing w:line="240" w:lineRule="auto"/>
              <w:contextualSpacing/>
              <w:rPr>
                <w:rFonts w:ascii="Calibri" w:eastAsia="Calibri" w:hAnsi="Calibri" w:cs="Times New Roman"/>
              </w:rPr>
            </w:pPr>
            <w:r w:rsidRPr="00A87470">
              <w:rPr>
                <w:rFonts w:ascii="Calibri" w:eastAsia="Calibri" w:hAnsi="Calibri" w:cs="Times New Roman"/>
              </w:rPr>
              <w:t>Other (ml)</w:t>
            </w:r>
          </w:p>
          <w:p w14:paraId="7C26E4DD"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Blood products (specify)</w:t>
            </w:r>
          </w:p>
          <w:p w14:paraId="7B26FDF3" w14:textId="77777777" w:rsidR="00CA6F06" w:rsidRPr="00A87470" w:rsidRDefault="00CA6F06" w:rsidP="00CA6F06">
            <w:pPr>
              <w:numPr>
                <w:ilvl w:val="0"/>
                <w:numId w:val="10"/>
              </w:numPr>
              <w:spacing w:line="240" w:lineRule="auto"/>
              <w:contextualSpacing/>
              <w:rPr>
                <w:rFonts w:ascii="Calibri" w:eastAsia="Calibri" w:hAnsi="Calibri" w:cs="Times New Roman"/>
              </w:rPr>
            </w:pPr>
            <w:r w:rsidRPr="002D1E29">
              <w:rPr>
                <w:rFonts w:ascii="Calibri" w:eastAsia="Calibri" w:hAnsi="Calibri" w:cs="Times New Roman"/>
              </w:rPr>
              <w:t>E</w:t>
            </w:r>
            <w:r w:rsidRPr="00A87470">
              <w:rPr>
                <w:rFonts w:ascii="Calibri" w:eastAsia="Calibri" w:hAnsi="Calibri" w:cs="Times New Roman"/>
              </w:rPr>
              <w:t>rythrocyte</w:t>
            </w:r>
            <w:r w:rsidRPr="002D1E29">
              <w:rPr>
                <w:rFonts w:ascii="Calibri" w:eastAsia="Calibri" w:hAnsi="Calibri" w:cs="Times New Roman"/>
              </w:rPr>
              <w:t>s</w:t>
            </w:r>
            <w:r w:rsidRPr="00A87470">
              <w:rPr>
                <w:rFonts w:ascii="Calibri" w:eastAsia="Calibri" w:hAnsi="Calibri" w:cs="Times New Roman"/>
              </w:rPr>
              <w:t xml:space="preserve"> (ml)</w:t>
            </w:r>
          </w:p>
          <w:p w14:paraId="21E9434C" w14:textId="77777777" w:rsidR="00CA6F06" w:rsidRPr="00A87470" w:rsidRDefault="00CA6F06" w:rsidP="00CA6F06">
            <w:pPr>
              <w:numPr>
                <w:ilvl w:val="0"/>
                <w:numId w:val="10"/>
              </w:numPr>
              <w:spacing w:line="240" w:lineRule="auto"/>
              <w:contextualSpacing/>
              <w:rPr>
                <w:rFonts w:ascii="Calibri" w:eastAsia="Calibri" w:hAnsi="Calibri" w:cs="Times New Roman"/>
              </w:rPr>
            </w:pPr>
            <w:r w:rsidRPr="00A87470">
              <w:rPr>
                <w:rFonts w:ascii="Calibri" w:eastAsia="Calibri" w:hAnsi="Calibri" w:cs="Times New Roman"/>
              </w:rPr>
              <w:t>Plasma (ml)</w:t>
            </w:r>
          </w:p>
          <w:p w14:paraId="0CC7835E" w14:textId="77777777" w:rsidR="00CA6F06" w:rsidRPr="00A87470" w:rsidRDefault="00CA6F06" w:rsidP="00CA6F06">
            <w:pPr>
              <w:numPr>
                <w:ilvl w:val="0"/>
                <w:numId w:val="10"/>
              </w:numPr>
              <w:spacing w:line="240" w:lineRule="auto"/>
              <w:contextualSpacing/>
              <w:rPr>
                <w:rFonts w:ascii="Calibri" w:eastAsia="Calibri" w:hAnsi="Calibri" w:cs="Times New Roman"/>
              </w:rPr>
            </w:pPr>
            <w:r w:rsidRPr="002D1E29">
              <w:rPr>
                <w:rFonts w:ascii="Calibri" w:eastAsia="Calibri" w:hAnsi="Calibri" w:cs="Times New Roman"/>
              </w:rPr>
              <w:t>P</w:t>
            </w:r>
            <w:r w:rsidRPr="00A87470">
              <w:rPr>
                <w:rFonts w:ascii="Calibri" w:eastAsia="Calibri" w:hAnsi="Calibri" w:cs="Times New Roman"/>
              </w:rPr>
              <w:t>latelets (ml).</w:t>
            </w:r>
          </w:p>
          <w:p w14:paraId="5D076EEF" w14:textId="77777777" w:rsidR="00CA6F06" w:rsidRPr="00A87470" w:rsidRDefault="00CA6F06" w:rsidP="00EB2848">
            <w:pPr>
              <w:ind w:left="720"/>
              <w:contextualSpacing/>
              <w:rPr>
                <w:rFonts w:ascii="Calibri" w:eastAsia="Calibri" w:hAnsi="Calibri" w:cs="Times New Roman"/>
              </w:rPr>
            </w:pPr>
          </w:p>
        </w:tc>
      </w:tr>
      <w:tr w:rsidR="00CA6F06" w:rsidRPr="002D1E29" w14:paraId="0503CDE5" w14:textId="77777777" w:rsidTr="00EB2848">
        <w:tc>
          <w:tcPr>
            <w:tcW w:w="2828" w:type="dxa"/>
            <w:vMerge/>
            <w:tcBorders>
              <w:left w:val="single" w:sz="4" w:space="0" w:color="auto"/>
              <w:bottom w:val="single" w:sz="4" w:space="0" w:color="auto"/>
              <w:right w:val="single" w:sz="4" w:space="0" w:color="auto"/>
            </w:tcBorders>
          </w:tcPr>
          <w:p w14:paraId="50DE8B9D" w14:textId="77777777" w:rsidR="00CA6F06" w:rsidRPr="00A87470" w:rsidRDefault="00CA6F06" w:rsidP="00EB2848">
            <w:pPr>
              <w:rPr>
                <w:rFonts w:ascii="Calibri" w:eastAsia="Calibri" w:hAnsi="Calibri" w:cs="Times New Roman"/>
              </w:rPr>
            </w:pPr>
          </w:p>
        </w:tc>
        <w:tc>
          <w:tcPr>
            <w:tcW w:w="6335" w:type="dxa"/>
            <w:tcBorders>
              <w:top w:val="nil"/>
              <w:left w:val="single" w:sz="4" w:space="0" w:color="auto"/>
              <w:bottom w:val="single" w:sz="4" w:space="0" w:color="auto"/>
              <w:right w:val="single" w:sz="4" w:space="0" w:color="auto"/>
            </w:tcBorders>
          </w:tcPr>
          <w:p w14:paraId="049EF575"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Maintenance and nutrition fluids in the 24 h prior to inclusion</w:t>
            </w:r>
          </w:p>
          <w:p w14:paraId="613B4C43" w14:textId="77777777" w:rsidR="00CA6F06" w:rsidRPr="00890DEA" w:rsidRDefault="00CA6F06" w:rsidP="00CA6F06">
            <w:pPr>
              <w:pStyle w:val="Listeafsnit"/>
              <w:numPr>
                <w:ilvl w:val="0"/>
                <w:numId w:val="7"/>
              </w:numPr>
              <w:spacing w:line="240" w:lineRule="auto"/>
              <w:rPr>
                <w:rFonts w:ascii="Calibri" w:eastAsia="Calibri" w:hAnsi="Calibri" w:cs="Times New Roman"/>
                <w:lang w:val="en-US"/>
              </w:rPr>
            </w:pPr>
            <w:r w:rsidRPr="00890DEA">
              <w:rPr>
                <w:rFonts w:ascii="Calibri" w:eastAsia="Calibri" w:hAnsi="Calibri" w:cs="Times New Roman"/>
                <w:lang w:val="en-US"/>
              </w:rPr>
              <w:t>Crystalloids administered for reasons other than correcting hemodynamic impairment. If indication in the medical charts is unclear, crystalloids at a rate below 5 ml/kg/h will be classified as maintenance fluids</w:t>
            </w:r>
          </w:p>
          <w:p w14:paraId="3AE9A079" w14:textId="77777777" w:rsidR="00CA6F06" w:rsidRPr="00A87470" w:rsidRDefault="00CA6F06" w:rsidP="00CA6F06">
            <w:pPr>
              <w:numPr>
                <w:ilvl w:val="0"/>
                <w:numId w:val="17"/>
              </w:numPr>
              <w:spacing w:line="240" w:lineRule="auto"/>
              <w:ind w:left="1596"/>
              <w:contextualSpacing/>
              <w:rPr>
                <w:rFonts w:ascii="Calibri" w:eastAsia="Calibri" w:hAnsi="Calibri" w:cs="Times New Roman"/>
              </w:rPr>
            </w:pPr>
            <w:r w:rsidRPr="00A87470">
              <w:rPr>
                <w:rFonts w:ascii="Calibri" w:eastAsia="Calibri" w:hAnsi="Calibri" w:cs="Times New Roman"/>
              </w:rPr>
              <w:t>Ringer</w:t>
            </w:r>
            <w:r w:rsidRPr="002D1E29">
              <w:rPr>
                <w:rFonts w:ascii="Calibri" w:eastAsia="Calibri" w:hAnsi="Calibri" w:cs="Times New Roman"/>
              </w:rPr>
              <w:t>’</w:t>
            </w:r>
            <w:r w:rsidRPr="00A87470">
              <w:rPr>
                <w:rFonts w:ascii="Calibri" w:eastAsia="Calibri" w:hAnsi="Calibri" w:cs="Times New Roman"/>
              </w:rPr>
              <w:t>s acetate/lactate (ml)</w:t>
            </w:r>
          </w:p>
          <w:p w14:paraId="2FBE1EA5" w14:textId="77777777" w:rsidR="00CA6F06" w:rsidRPr="002D1E29" w:rsidRDefault="00CA6F06" w:rsidP="00CA6F06">
            <w:pPr>
              <w:numPr>
                <w:ilvl w:val="0"/>
                <w:numId w:val="17"/>
              </w:numPr>
              <w:spacing w:line="240" w:lineRule="auto"/>
              <w:ind w:left="1596"/>
              <w:contextualSpacing/>
              <w:rPr>
                <w:rFonts w:ascii="Calibri" w:eastAsia="Calibri" w:hAnsi="Calibri" w:cs="Times New Roman"/>
              </w:rPr>
            </w:pPr>
            <w:r w:rsidRPr="00A87470">
              <w:rPr>
                <w:rFonts w:ascii="Calibri" w:eastAsia="Calibri" w:hAnsi="Calibri" w:cs="Times New Roman"/>
              </w:rPr>
              <w:t>0.9% NaCl (ml)</w:t>
            </w:r>
          </w:p>
          <w:p w14:paraId="2BAA6DDE" w14:textId="77777777" w:rsidR="00CA6F06" w:rsidRPr="002D1E29" w:rsidRDefault="00CA6F06" w:rsidP="00CA6F06">
            <w:pPr>
              <w:pStyle w:val="Listeafsnit"/>
              <w:numPr>
                <w:ilvl w:val="0"/>
                <w:numId w:val="17"/>
              </w:numPr>
              <w:spacing w:line="240" w:lineRule="auto"/>
              <w:ind w:left="1596"/>
              <w:rPr>
                <w:rFonts w:ascii="Calibri" w:eastAsia="Calibri" w:hAnsi="Calibri" w:cs="Times New Roman"/>
              </w:rPr>
            </w:pPr>
            <w:r w:rsidRPr="00A87470">
              <w:rPr>
                <w:rFonts w:ascii="Calibri" w:eastAsia="Calibri" w:hAnsi="Calibri" w:cs="Times New Roman"/>
              </w:rPr>
              <w:t>Other (ml)</w:t>
            </w:r>
          </w:p>
          <w:p w14:paraId="4445B3E4"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lastRenderedPageBreak/>
              <w:t>Glucose solution (specify concentration)</w:t>
            </w:r>
          </w:p>
          <w:p w14:paraId="41130E4A" w14:textId="77777777" w:rsidR="00CA6F06" w:rsidRPr="00A87470" w:rsidRDefault="00CA6F06" w:rsidP="00CA6F06">
            <w:pPr>
              <w:numPr>
                <w:ilvl w:val="0"/>
                <w:numId w:val="18"/>
              </w:numPr>
              <w:spacing w:line="240" w:lineRule="auto"/>
              <w:ind w:left="1596"/>
              <w:contextualSpacing/>
              <w:rPr>
                <w:rFonts w:ascii="Calibri" w:eastAsia="Calibri" w:hAnsi="Calibri" w:cs="Times New Roman"/>
              </w:rPr>
            </w:pPr>
            <w:r w:rsidRPr="00A87470">
              <w:rPr>
                <w:rFonts w:ascii="Calibri" w:eastAsia="Calibri" w:hAnsi="Calibri" w:cs="Times New Roman"/>
              </w:rPr>
              <w:t>Glucose solution 2.5% (ml)</w:t>
            </w:r>
          </w:p>
          <w:p w14:paraId="13180C45" w14:textId="77777777" w:rsidR="00CA6F06" w:rsidRPr="00A87470" w:rsidRDefault="00CA6F06" w:rsidP="00CA6F06">
            <w:pPr>
              <w:numPr>
                <w:ilvl w:val="0"/>
                <w:numId w:val="18"/>
              </w:numPr>
              <w:spacing w:line="240" w:lineRule="auto"/>
              <w:ind w:left="1596"/>
              <w:contextualSpacing/>
              <w:rPr>
                <w:rFonts w:ascii="Calibri" w:eastAsia="Calibri" w:hAnsi="Calibri" w:cs="Times New Roman"/>
              </w:rPr>
            </w:pPr>
            <w:r w:rsidRPr="00A87470">
              <w:rPr>
                <w:rFonts w:ascii="Calibri" w:eastAsia="Calibri" w:hAnsi="Calibri" w:cs="Times New Roman"/>
              </w:rPr>
              <w:t>Glucose solution 5% (ml)</w:t>
            </w:r>
          </w:p>
          <w:p w14:paraId="1C9B6F50" w14:textId="77777777" w:rsidR="00CA6F06" w:rsidRPr="00A87470" w:rsidRDefault="00CA6F06" w:rsidP="00CA6F06">
            <w:pPr>
              <w:numPr>
                <w:ilvl w:val="0"/>
                <w:numId w:val="18"/>
              </w:numPr>
              <w:spacing w:line="240" w:lineRule="auto"/>
              <w:ind w:left="1596"/>
              <w:contextualSpacing/>
              <w:rPr>
                <w:rFonts w:ascii="Calibri" w:eastAsia="Calibri" w:hAnsi="Calibri" w:cs="Times New Roman"/>
              </w:rPr>
            </w:pPr>
            <w:r w:rsidRPr="00A87470">
              <w:rPr>
                <w:rFonts w:ascii="Calibri" w:eastAsia="Calibri" w:hAnsi="Calibri" w:cs="Times New Roman"/>
              </w:rPr>
              <w:t>Glucose solution 10% (ml)</w:t>
            </w:r>
          </w:p>
          <w:p w14:paraId="120A050A" w14:textId="77777777" w:rsidR="00CA6F06" w:rsidRPr="002D1E29" w:rsidRDefault="00CA6F06" w:rsidP="00CA6F06">
            <w:pPr>
              <w:numPr>
                <w:ilvl w:val="0"/>
                <w:numId w:val="18"/>
              </w:numPr>
              <w:spacing w:line="240" w:lineRule="auto"/>
              <w:ind w:left="1596"/>
              <w:contextualSpacing/>
              <w:rPr>
                <w:rFonts w:ascii="Calibri" w:eastAsia="Calibri" w:hAnsi="Calibri" w:cs="Times New Roman"/>
              </w:rPr>
            </w:pPr>
            <w:r w:rsidRPr="00A87470">
              <w:rPr>
                <w:rFonts w:ascii="Calibri" w:eastAsia="Calibri" w:hAnsi="Calibri" w:cs="Times New Roman"/>
              </w:rPr>
              <w:t>Glucose solution 20% (ml)</w:t>
            </w:r>
          </w:p>
          <w:p w14:paraId="25701438" w14:textId="77777777" w:rsidR="00CA6F06" w:rsidRPr="00A87470" w:rsidRDefault="00CA6F06" w:rsidP="00CA6F06">
            <w:pPr>
              <w:numPr>
                <w:ilvl w:val="0"/>
                <w:numId w:val="18"/>
              </w:numPr>
              <w:spacing w:line="240" w:lineRule="auto"/>
              <w:ind w:left="1596"/>
              <w:contextualSpacing/>
              <w:rPr>
                <w:rFonts w:ascii="Calibri" w:eastAsia="Calibri" w:hAnsi="Calibri" w:cs="Times New Roman"/>
              </w:rPr>
            </w:pPr>
            <w:r w:rsidRPr="002D1E29">
              <w:rPr>
                <w:rFonts w:ascii="Calibri" w:eastAsia="Calibri" w:hAnsi="Calibri" w:cs="Times New Roman"/>
              </w:rPr>
              <w:t>Other glucose strength</w:t>
            </w:r>
          </w:p>
          <w:p w14:paraId="57C47C0A" w14:textId="77777777" w:rsidR="00CA6F06" w:rsidRPr="002D1E29"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Parenteral nutrition (ml)</w:t>
            </w:r>
          </w:p>
          <w:p w14:paraId="27D7615A"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Enteral nutrition (ml)</w:t>
            </w:r>
          </w:p>
          <w:p w14:paraId="0CBE8BBF"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Enteral water (ml)</w:t>
            </w:r>
          </w:p>
        </w:tc>
      </w:tr>
      <w:tr w:rsidR="00CA6F06" w:rsidRPr="002D1E29" w14:paraId="02A9F288" w14:textId="77777777" w:rsidTr="00EB2848">
        <w:tc>
          <w:tcPr>
            <w:tcW w:w="2828" w:type="dxa"/>
            <w:vMerge w:val="restart"/>
            <w:tcBorders>
              <w:top w:val="single" w:sz="4" w:space="0" w:color="auto"/>
              <w:left w:val="single" w:sz="4" w:space="0" w:color="auto"/>
              <w:right w:val="single" w:sz="4" w:space="0" w:color="auto"/>
            </w:tcBorders>
          </w:tcPr>
          <w:p w14:paraId="7DFE83CF" w14:textId="77777777" w:rsidR="00CA6F06" w:rsidRPr="00890DEA" w:rsidRDefault="00CA6F06" w:rsidP="00EB2848">
            <w:pPr>
              <w:rPr>
                <w:rFonts w:ascii="Calibri" w:eastAsia="Calibri" w:hAnsi="Calibri" w:cs="Times New Roman"/>
                <w:b/>
                <w:bCs/>
                <w:lang w:val="en-US"/>
              </w:rPr>
            </w:pPr>
            <w:r w:rsidRPr="00890DEA">
              <w:rPr>
                <w:rFonts w:ascii="Calibri" w:eastAsia="Calibri" w:hAnsi="Calibri" w:cs="Times New Roman"/>
                <w:b/>
                <w:bCs/>
                <w:lang w:val="en-US"/>
              </w:rPr>
              <w:lastRenderedPageBreak/>
              <w:t>Daily variables for the first 5 days after inclusion (only collected if patient is in the ICU)</w:t>
            </w:r>
          </w:p>
        </w:tc>
        <w:tc>
          <w:tcPr>
            <w:tcW w:w="6335" w:type="dxa"/>
            <w:tcBorders>
              <w:left w:val="single" w:sz="4" w:space="0" w:color="auto"/>
              <w:bottom w:val="single" w:sz="4" w:space="0" w:color="auto"/>
            </w:tcBorders>
          </w:tcPr>
          <w:p w14:paraId="28139031"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Resuscitation fluids</w:t>
            </w:r>
          </w:p>
          <w:p w14:paraId="118F622C"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Crystalloids administered to correct hemodynamic impairment as noted in the patient chart or given at a rate &gt; 5 ml/kg/h (specify)</w:t>
            </w:r>
          </w:p>
          <w:p w14:paraId="44B5F891" w14:textId="77777777" w:rsidR="00CA6F06" w:rsidRPr="00A87470" w:rsidRDefault="00CA6F06" w:rsidP="00CA6F06">
            <w:pPr>
              <w:numPr>
                <w:ilvl w:val="0"/>
                <w:numId w:val="12"/>
              </w:numPr>
              <w:spacing w:line="240" w:lineRule="auto"/>
              <w:contextualSpacing/>
              <w:rPr>
                <w:rFonts w:ascii="Calibri" w:eastAsia="Calibri" w:hAnsi="Calibri" w:cs="Times New Roman"/>
              </w:rPr>
            </w:pPr>
            <w:r w:rsidRPr="00A87470">
              <w:rPr>
                <w:rFonts w:ascii="Calibri" w:eastAsia="Calibri" w:hAnsi="Calibri" w:cs="Times New Roman"/>
              </w:rPr>
              <w:t>Ringer</w:t>
            </w:r>
            <w:r w:rsidRPr="002D1E29">
              <w:rPr>
                <w:rFonts w:ascii="Calibri" w:eastAsia="Calibri" w:hAnsi="Calibri" w:cs="Times New Roman"/>
              </w:rPr>
              <w:t>’</w:t>
            </w:r>
            <w:r w:rsidRPr="00A87470">
              <w:rPr>
                <w:rFonts w:ascii="Calibri" w:eastAsia="Calibri" w:hAnsi="Calibri" w:cs="Times New Roman"/>
              </w:rPr>
              <w:t>s acetate/lactate (ml)</w:t>
            </w:r>
          </w:p>
          <w:p w14:paraId="140DB090" w14:textId="77777777" w:rsidR="00CA6F06" w:rsidRPr="002D1E29" w:rsidRDefault="00CA6F06" w:rsidP="00CA6F06">
            <w:pPr>
              <w:numPr>
                <w:ilvl w:val="0"/>
                <w:numId w:val="12"/>
              </w:numPr>
              <w:spacing w:line="240" w:lineRule="auto"/>
              <w:contextualSpacing/>
              <w:rPr>
                <w:rFonts w:ascii="Calibri" w:eastAsia="Calibri" w:hAnsi="Calibri" w:cs="Times New Roman"/>
              </w:rPr>
            </w:pPr>
            <w:r w:rsidRPr="00A87470">
              <w:rPr>
                <w:rFonts w:ascii="Calibri" w:eastAsia="Calibri" w:hAnsi="Calibri" w:cs="Times New Roman"/>
              </w:rPr>
              <w:t>0.9% NaCl (ml)</w:t>
            </w:r>
          </w:p>
          <w:p w14:paraId="6C3B4EA4" w14:textId="77777777" w:rsidR="00CA6F06" w:rsidRPr="002D1E29" w:rsidRDefault="00CA6F06" w:rsidP="00CA6F06">
            <w:pPr>
              <w:numPr>
                <w:ilvl w:val="0"/>
                <w:numId w:val="12"/>
              </w:numPr>
              <w:spacing w:line="240" w:lineRule="auto"/>
              <w:contextualSpacing/>
              <w:rPr>
                <w:rFonts w:ascii="Calibri" w:eastAsia="Calibri" w:hAnsi="Calibri" w:cs="Times New Roman"/>
              </w:rPr>
            </w:pPr>
            <w:r w:rsidRPr="00A87470">
              <w:rPr>
                <w:rFonts w:ascii="Calibri" w:eastAsia="Calibri" w:hAnsi="Calibri" w:cs="Times New Roman"/>
              </w:rPr>
              <w:t>Other (ml)</w:t>
            </w:r>
          </w:p>
          <w:p w14:paraId="3A44CA9C"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Colloids (specify)</w:t>
            </w:r>
          </w:p>
          <w:p w14:paraId="7C1DA533" w14:textId="77777777" w:rsidR="00CA6F06" w:rsidRPr="00A87470" w:rsidRDefault="00CA6F06" w:rsidP="00CA6F06">
            <w:pPr>
              <w:numPr>
                <w:ilvl w:val="0"/>
                <w:numId w:val="11"/>
              </w:numPr>
              <w:spacing w:line="240" w:lineRule="auto"/>
              <w:contextualSpacing/>
              <w:rPr>
                <w:rFonts w:ascii="Calibri" w:eastAsia="Calibri" w:hAnsi="Calibri" w:cs="Times New Roman"/>
              </w:rPr>
            </w:pPr>
            <w:r w:rsidRPr="00A87470">
              <w:rPr>
                <w:rFonts w:ascii="Calibri" w:eastAsia="Calibri" w:hAnsi="Calibri" w:cs="Times New Roman"/>
              </w:rPr>
              <w:t>Albumin 4-5% (ml)</w:t>
            </w:r>
          </w:p>
          <w:p w14:paraId="18579043" w14:textId="77777777" w:rsidR="00CA6F06" w:rsidRPr="00A87470" w:rsidRDefault="00CA6F06" w:rsidP="00CA6F06">
            <w:pPr>
              <w:numPr>
                <w:ilvl w:val="0"/>
                <w:numId w:val="11"/>
              </w:numPr>
              <w:spacing w:line="240" w:lineRule="auto"/>
              <w:contextualSpacing/>
              <w:rPr>
                <w:rFonts w:ascii="Calibri" w:eastAsia="Calibri" w:hAnsi="Calibri" w:cs="Times New Roman"/>
              </w:rPr>
            </w:pPr>
            <w:r w:rsidRPr="00A87470">
              <w:rPr>
                <w:rFonts w:ascii="Calibri" w:eastAsia="Calibri" w:hAnsi="Calibri" w:cs="Times New Roman"/>
              </w:rPr>
              <w:t>Albumin 20% (ml)</w:t>
            </w:r>
          </w:p>
          <w:p w14:paraId="72462231" w14:textId="77777777" w:rsidR="00CA6F06" w:rsidRPr="00A87470" w:rsidRDefault="00CA6F06" w:rsidP="00CA6F06">
            <w:pPr>
              <w:numPr>
                <w:ilvl w:val="0"/>
                <w:numId w:val="11"/>
              </w:numPr>
              <w:spacing w:line="240" w:lineRule="auto"/>
              <w:contextualSpacing/>
              <w:rPr>
                <w:rFonts w:ascii="Calibri" w:eastAsia="Calibri" w:hAnsi="Calibri" w:cs="Times New Roman"/>
              </w:rPr>
            </w:pPr>
            <w:r w:rsidRPr="00A87470">
              <w:rPr>
                <w:rFonts w:ascii="Calibri" w:eastAsia="Calibri" w:hAnsi="Calibri" w:cs="Times New Roman"/>
              </w:rPr>
              <w:t>Other (ml)</w:t>
            </w:r>
          </w:p>
          <w:p w14:paraId="079AB96D"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Blood products (specify)</w:t>
            </w:r>
          </w:p>
          <w:p w14:paraId="55C83561" w14:textId="77777777" w:rsidR="00CA6F06" w:rsidRPr="00A87470" w:rsidRDefault="00CA6F06" w:rsidP="00CA6F06">
            <w:pPr>
              <w:numPr>
                <w:ilvl w:val="0"/>
                <w:numId w:val="13"/>
              </w:numPr>
              <w:spacing w:line="240" w:lineRule="auto"/>
              <w:contextualSpacing/>
              <w:rPr>
                <w:rFonts w:ascii="Calibri" w:eastAsia="Calibri" w:hAnsi="Calibri" w:cs="Times New Roman"/>
              </w:rPr>
            </w:pPr>
            <w:r w:rsidRPr="002D1E29">
              <w:rPr>
                <w:rFonts w:ascii="Calibri" w:eastAsia="Calibri" w:hAnsi="Calibri" w:cs="Times New Roman"/>
              </w:rPr>
              <w:t>E</w:t>
            </w:r>
            <w:r w:rsidRPr="00A87470">
              <w:rPr>
                <w:rFonts w:ascii="Calibri" w:eastAsia="Calibri" w:hAnsi="Calibri" w:cs="Times New Roman"/>
              </w:rPr>
              <w:t>rythrocyte</w:t>
            </w:r>
            <w:r w:rsidRPr="002D1E29">
              <w:rPr>
                <w:rFonts w:ascii="Calibri" w:eastAsia="Calibri" w:hAnsi="Calibri" w:cs="Times New Roman"/>
              </w:rPr>
              <w:t>s</w:t>
            </w:r>
            <w:r w:rsidRPr="00A87470">
              <w:rPr>
                <w:rFonts w:ascii="Calibri" w:eastAsia="Calibri" w:hAnsi="Calibri" w:cs="Times New Roman"/>
              </w:rPr>
              <w:t xml:space="preserve"> (ml)</w:t>
            </w:r>
          </w:p>
          <w:p w14:paraId="7CB4BF93" w14:textId="77777777" w:rsidR="00CA6F06" w:rsidRPr="00A87470" w:rsidRDefault="00CA6F06" w:rsidP="00CA6F06">
            <w:pPr>
              <w:numPr>
                <w:ilvl w:val="0"/>
                <w:numId w:val="13"/>
              </w:numPr>
              <w:spacing w:line="240" w:lineRule="auto"/>
              <w:contextualSpacing/>
              <w:rPr>
                <w:rFonts w:ascii="Calibri" w:eastAsia="Calibri" w:hAnsi="Calibri" w:cs="Times New Roman"/>
              </w:rPr>
            </w:pPr>
            <w:r w:rsidRPr="00A87470">
              <w:rPr>
                <w:rFonts w:ascii="Calibri" w:eastAsia="Calibri" w:hAnsi="Calibri" w:cs="Times New Roman"/>
              </w:rPr>
              <w:t>Plasma (ml)</w:t>
            </w:r>
          </w:p>
          <w:p w14:paraId="3D26557A" w14:textId="77777777" w:rsidR="00CA6F06" w:rsidRPr="00A87470" w:rsidRDefault="00CA6F06" w:rsidP="00CA6F06">
            <w:pPr>
              <w:numPr>
                <w:ilvl w:val="0"/>
                <w:numId w:val="13"/>
              </w:numPr>
              <w:spacing w:line="240" w:lineRule="auto"/>
              <w:contextualSpacing/>
              <w:rPr>
                <w:rFonts w:ascii="Calibri" w:eastAsia="Calibri" w:hAnsi="Calibri" w:cs="Times New Roman"/>
              </w:rPr>
            </w:pPr>
            <w:r w:rsidRPr="002D1E29">
              <w:rPr>
                <w:rFonts w:ascii="Calibri" w:eastAsia="Calibri" w:hAnsi="Calibri" w:cs="Times New Roman"/>
              </w:rPr>
              <w:t>P</w:t>
            </w:r>
            <w:r w:rsidRPr="00A87470">
              <w:rPr>
                <w:rFonts w:ascii="Calibri" w:eastAsia="Calibri" w:hAnsi="Calibri" w:cs="Times New Roman"/>
              </w:rPr>
              <w:t>latelets (ml)</w:t>
            </w:r>
          </w:p>
        </w:tc>
      </w:tr>
      <w:tr w:rsidR="00CA6F06" w:rsidRPr="002D1E29" w14:paraId="3B526D07" w14:textId="77777777" w:rsidTr="00EB2848">
        <w:tc>
          <w:tcPr>
            <w:tcW w:w="2828" w:type="dxa"/>
            <w:vMerge/>
            <w:tcBorders>
              <w:top w:val="single" w:sz="4" w:space="0" w:color="auto"/>
              <w:left w:val="single" w:sz="4" w:space="0" w:color="auto"/>
              <w:right w:val="single" w:sz="4" w:space="0" w:color="auto"/>
            </w:tcBorders>
          </w:tcPr>
          <w:p w14:paraId="4CC9EA47" w14:textId="77777777" w:rsidR="00CA6F06" w:rsidRPr="00A87470" w:rsidRDefault="00CA6F06" w:rsidP="00EB2848">
            <w:pPr>
              <w:rPr>
                <w:rFonts w:ascii="Calibri" w:eastAsia="Calibri" w:hAnsi="Calibri" w:cs="Times New Roman"/>
                <w:b/>
                <w:bCs/>
              </w:rPr>
            </w:pPr>
          </w:p>
        </w:tc>
        <w:tc>
          <w:tcPr>
            <w:tcW w:w="6335" w:type="dxa"/>
            <w:tcBorders>
              <w:left w:val="single" w:sz="4" w:space="0" w:color="auto"/>
              <w:bottom w:val="single" w:sz="4" w:space="0" w:color="auto"/>
            </w:tcBorders>
          </w:tcPr>
          <w:p w14:paraId="792D7956"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Volumes of intravenous vehicles and drugs</w:t>
            </w:r>
          </w:p>
          <w:p w14:paraId="6094DD63"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Vehicles for drugs</w:t>
            </w:r>
          </w:p>
          <w:p w14:paraId="49FE16A0"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Ringer’s Acetate/Ringer’s Lactate (ml)</w:t>
            </w:r>
          </w:p>
          <w:p w14:paraId="33B6D50A" w14:textId="77777777" w:rsidR="00CA6F06" w:rsidRPr="002D1E29"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0.9% NaCl (ml)</w:t>
            </w:r>
          </w:p>
          <w:p w14:paraId="08179D1B"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2D1E29">
              <w:rPr>
                <w:rFonts w:ascii="Calibri" w:eastAsia="Calibri" w:hAnsi="Calibri" w:cs="Times New Roman"/>
              </w:rPr>
              <w:t>Other crystalloids (mL)</w:t>
            </w:r>
          </w:p>
          <w:p w14:paraId="0CF2B854"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2D1E29">
              <w:rPr>
                <w:rFonts w:ascii="Calibri" w:eastAsia="Calibri" w:hAnsi="Calibri" w:cs="Times New Roman"/>
              </w:rPr>
              <w:t>G</w:t>
            </w:r>
            <w:r w:rsidRPr="00A87470">
              <w:rPr>
                <w:rFonts w:ascii="Calibri" w:eastAsia="Calibri" w:hAnsi="Calibri" w:cs="Times New Roman"/>
              </w:rPr>
              <w:t>lucose 5% (ml)</w:t>
            </w:r>
          </w:p>
          <w:p w14:paraId="569625BD"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2D1E29">
              <w:rPr>
                <w:rFonts w:ascii="Calibri" w:eastAsia="Calibri" w:hAnsi="Calibri" w:cs="Times New Roman"/>
              </w:rPr>
              <w:t>S</w:t>
            </w:r>
            <w:r w:rsidRPr="00A87470">
              <w:rPr>
                <w:rFonts w:ascii="Calibri" w:eastAsia="Calibri" w:hAnsi="Calibri" w:cs="Times New Roman"/>
              </w:rPr>
              <w:t>terile water (ml)</w:t>
            </w:r>
          </w:p>
          <w:p w14:paraId="5932987A" w14:textId="77777777" w:rsidR="00CA6F06" w:rsidRPr="002D1E29" w:rsidRDefault="00CA6F06" w:rsidP="00CA6F06">
            <w:pPr>
              <w:numPr>
                <w:ilvl w:val="0"/>
                <w:numId w:val="7"/>
              </w:numPr>
              <w:spacing w:line="240" w:lineRule="auto"/>
              <w:contextualSpacing/>
              <w:rPr>
                <w:rFonts w:ascii="Calibri" w:eastAsia="Calibri" w:hAnsi="Calibri" w:cs="Times New Roman"/>
              </w:rPr>
            </w:pPr>
            <w:r w:rsidRPr="002D1E29">
              <w:rPr>
                <w:rFonts w:ascii="Calibri" w:eastAsia="Calibri" w:hAnsi="Calibri" w:cs="Times New Roman"/>
              </w:rPr>
              <w:t>P</w:t>
            </w:r>
            <w:r w:rsidRPr="00A87470">
              <w:rPr>
                <w:rFonts w:ascii="Calibri" w:eastAsia="Calibri" w:hAnsi="Calibri" w:cs="Times New Roman"/>
              </w:rPr>
              <w:t>remixed drugs (ml)</w:t>
            </w:r>
          </w:p>
          <w:p w14:paraId="051071D7"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Other fluid as vehicle (mL)</w:t>
            </w:r>
          </w:p>
          <w:p w14:paraId="62EBFFB3" w14:textId="77777777" w:rsidR="00CA6F06" w:rsidRPr="00890DEA" w:rsidRDefault="00CA6F06" w:rsidP="00EB2848">
            <w:pPr>
              <w:contextualSpacing/>
              <w:rPr>
                <w:rFonts w:ascii="Calibri" w:eastAsia="Calibri" w:hAnsi="Calibri" w:cs="Times New Roman"/>
                <w:lang w:val="en-US"/>
              </w:rPr>
            </w:pPr>
          </w:p>
          <w:p w14:paraId="12BD5185" w14:textId="77777777" w:rsidR="00CA6F06" w:rsidRPr="002D1E29" w:rsidRDefault="00CA6F06" w:rsidP="00EB2848">
            <w:pPr>
              <w:contextualSpacing/>
              <w:rPr>
                <w:rFonts w:ascii="Calibri" w:eastAsia="Calibri" w:hAnsi="Calibri" w:cs="Times New Roman"/>
              </w:rPr>
            </w:pPr>
            <w:r w:rsidRPr="002D1E29">
              <w:rPr>
                <w:rFonts w:ascii="Calibri" w:eastAsia="Calibri" w:hAnsi="Calibri" w:cs="Times New Roman"/>
              </w:rPr>
              <w:t>Drugs regardless of vehicle</w:t>
            </w:r>
          </w:p>
          <w:p w14:paraId="03ED067B" w14:textId="77777777" w:rsidR="00CA6F06" w:rsidRPr="002D1E29" w:rsidRDefault="00CA6F06" w:rsidP="00CA6F06">
            <w:pPr>
              <w:pStyle w:val="Listeafsnit"/>
              <w:numPr>
                <w:ilvl w:val="0"/>
                <w:numId w:val="19"/>
              </w:numPr>
              <w:spacing w:line="240" w:lineRule="auto"/>
              <w:rPr>
                <w:rFonts w:ascii="Calibri" w:eastAsia="Calibri" w:hAnsi="Calibri" w:cs="Times New Roman"/>
              </w:rPr>
            </w:pPr>
            <w:r w:rsidRPr="002D1E29">
              <w:rPr>
                <w:rFonts w:ascii="Calibri" w:eastAsia="Calibri" w:hAnsi="Calibri" w:cs="Times New Roman"/>
              </w:rPr>
              <w:t>Antibiotics (mL)</w:t>
            </w:r>
          </w:p>
          <w:p w14:paraId="371E41C6" w14:textId="77777777" w:rsidR="00CA6F06" w:rsidRPr="00890DEA" w:rsidRDefault="00CA6F06" w:rsidP="00CA6F06">
            <w:pPr>
              <w:pStyle w:val="Listeafsnit"/>
              <w:numPr>
                <w:ilvl w:val="0"/>
                <w:numId w:val="19"/>
              </w:numPr>
              <w:spacing w:line="240" w:lineRule="auto"/>
              <w:rPr>
                <w:rFonts w:ascii="Calibri" w:eastAsia="Calibri" w:hAnsi="Calibri" w:cs="Times New Roman"/>
                <w:lang w:val="en-US"/>
              </w:rPr>
            </w:pPr>
            <w:r w:rsidRPr="00890DEA">
              <w:rPr>
                <w:rFonts w:ascii="Calibri" w:eastAsia="Calibri" w:hAnsi="Calibri" w:cs="Times New Roman"/>
                <w:lang w:val="en-US"/>
              </w:rPr>
              <w:t>Inotropes (includes dobutamine, levosimedan, or dopamine &lt;5mcg/kg/min) (mL)</w:t>
            </w:r>
          </w:p>
          <w:p w14:paraId="1ECE1F66" w14:textId="77777777" w:rsidR="00CA6F06" w:rsidRPr="002D1E29" w:rsidRDefault="00CA6F06" w:rsidP="00CA6F06">
            <w:pPr>
              <w:pStyle w:val="Listeafsnit"/>
              <w:numPr>
                <w:ilvl w:val="0"/>
                <w:numId w:val="19"/>
              </w:numPr>
              <w:spacing w:line="240" w:lineRule="auto"/>
              <w:rPr>
                <w:rFonts w:ascii="Calibri" w:eastAsia="Calibri" w:hAnsi="Calibri" w:cs="Times New Roman"/>
              </w:rPr>
            </w:pPr>
            <w:r w:rsidRPr="002D1E29">
              <w:rPr>
                <w:rFonts w:ascii="Calibri" w:eastAsia="Calibri" w:hAnsi="Calibri" w:cs="Times New Roman"/>
              </w:rPr>
              <w:t>Vasopressors (mL)</w:t>
            </w:r>
          </w:p>
          <w:p w14:paraId="6497570E" w14:textId="77777777" w:rsidR="00CA6F06" w:rsidRPr="002D1E29" w:rsidRDefault="00CA6F06" w:rsidP="00CA6F06">
            <w:pPr>
              <w:pStyle w:val="Listeafsnit"/>
              <w:numPr>
                <w:ilvl w:val="0"/>
                <w:numId w:val="19"/>
              </w:numPr>
              <w:spacing w:line="240" w:lineRule="auto"/>
              <w:rPr>
                <w:rFonts w:ascii="Calibri" w:eastAsia="Calibri" w:hAnsi="Calibri" w:cs="Times New Roman"/>
              </w:rPr>
            </w:pPr>
            <w:r w:rsidRPr="002D1E29">
              <w:rPr>
                <w:rFonts w:ascii="Calibri" w:eastAsia="Calibri" w:hAnsi="Calibri" w:cs="Times New Roman"/>
              </w:rPr>
              <w:t>Analgesics (mL)</w:t>
            </w:r>
          </w:p>
          <w:p w14:paraId="1CF3AD79" w14:textId="77777777" w:rsidR="00CA6F06" w:rsidRPr="002D1E29" w:rsidRDefault="00CA6F06" w:rsidP="00CA6F06">
            <w:pPr>
              <w:pStyle w:val="Listeafsnit"/>
              <w:numPr>
                <w:ilvl w:val="0"/>
                <w:numId w:val="19"/>
              </w:numPr>
              <w:spacing w:line="240" w:lineRule="auto"/>
              <w:rPr>
                <w:rFonts w:ascii="Calibri" w:eastAsia="Calibri" w:hAnsi="Calibri" w:cs="Times New Roman"/>
              </w:rPr>
            </w:pPr>
            <w:r w:rsidRPr="002D1E29">
              <w:rPr>
                <w:rFonts w:ascii="Calibri" w:eastAsia="Calibri" w:hAnsi="Calibri" w:cs="Times New Roman"/>
              </w:rPr>
              <w:t>Sedatives (mL)</w:t>
            </w:r>
          </w:p>
          <w:p w14:paraId="4B52B853" w14:textId="77777777" w:rsidR="00CA6F06" w:rsidRPr="002D1E29" w:rsidRDefault="00CA6F06" w:rsidP="00CA6F06">
            <w:pPr>
              <w:pStyle w:val="Listeafsnit"/>
              <w:numPr>
                <w:ilvl w:val="0"/>
                <w:numId w:val="19"/>
              </w:numPr>
              <w:spacing w:line="240" w:lineRule="auto"/>
              <w:rPr>
                <w:rFonts w:ascii="Calibri" w:eastAsia="Calibri" w:hAnsi="Calibri" w:cs="Times New Roman"/>
              </w:rPr>
            </w:pPr>
            <w:r w:rsidRPr="002D1E29">
              <w:rPr>
                <w:rFonts w:ascii="Calibri" w:eastAsia="Calibri" w:hAnsi="Calibri" w:cs="Times New Roman"/>
              </w:rPr>
              <w:t>Insulin (mL)</w:t>
            </w:r>
          </w:p>
          <w:p w14:paraId="3F7618ED" w14:textId="77777777" w:rsidR="00CA6F06" w:rsidRPr="002D1E29" w:rsidRDefault="00CA6F06" w:rsidP="00CA6F06">
            <w:pPr>
              <w:pStyle w:val="Listeafsnit"/>
              <w:numPr>
                <w:ilvl w:val="0"/>
                <w:numId w:val="19"/>
              </w:numPr>
              <w:spacing w:line="240" w:lineRule="auto"/>
              <w:rPr>
                <w:rFonts w:ascii="Calibri" w:eastAsia="Calibri" w:hAnsi="Calibri" w:cs="Times New Roman"/>
              </w:rPr>
            </w:pPr>
            <w:r w:rsidRPr="002D1E29">
              <w:rPr>
                <w:rFonts w:ascii="Calibri" w:eastAsia="Calibri" w:hAnsi="Calibri" w:cs="Times New Roman"/>
              </w:rPr>
              <w:t>Potassium (mL)</w:t>
            </w:r>
          </w:p>
          <w:p w14:paraId="30A70E98" w14:textId="77777777" w:rsidR="00CA6F06" w:rsidRPr="002D1E29" w:rsidRDefault="00CA6F06" w:rsidP="00CA6F06">
            <w:pPr>
              <w:pStyle w:val="Listeafsnit"/>
              <w:numPr>
                <w:ilvl w:val="0"/>
                <w:numId w:val="19"/>
              </w:numPr>
              <w:spacing w:line="240" w:lineRule="auto"/>
              <w:rPr>
                <w:rFonts w:ascii="Calibri" w:eastAsia="Calibri" w:hAnsi="Calibri" w:cs="Times New Roman"/>
              </w:rPr>
            </w:pPr>
            <w:r w:rsidRPr="002D1E29">
              <w:rPr>
                <w:rFonts w:ascii="Calibri" w:eastAsia="Calibri" w:hAnsi="Calibri" w:cs="Times New Roman"/>
              </w:rPr>
              <w:t>Other electrolytes (mL)</w:t>
            </w:r>
          </w:p>
          <w:p w14:paraId="13E7B689" w14:textId="77777777" w:rsidR="00CA6F06" w:rsidRPr="00A87470" w:rsidRDefault="00CA6F06" w:rsidP="00EB2848">
            <w:pPr>
              <w:rPr>
                <w:rFonts w:ascii="Calibri" w:eastAsia="Calibri" w:hAnsi="Calibri" w:cs="Times New Roman"/>
              </w:rPr>
            </w:pPr>
            <w:r w:rsidRPr="002D1E29">
              <w:rPr>
                <w:rFonts w:ascii="Calibri" w:eastAsia="Calibri" w:hAnsi="Calibri" w:cs="Times New Roman"/>
              </w:rPr>
              <w:lastRenderedPageBreak/>
              <w:t>Other drugs (mL)</w:t>
            </w:r>
          </w:p>
        </w:tc>
      </w:tr>
      <w:tr w:rsidR="00CA6F06" w:rsidRPr="00EB2848" w14:paraId="055430FC" w14:textId="77777777" w:rsidTr="00EB2848">
        <w:tc>
          <w:tcPr>
            <w:tcW w:w="2828" w:type="dxa"/>
            <w:vMerge/>
            <w:tcBorders>
              <w:top w:val="single" w:sz="4" w:space="0" w:color="auto"/>
              <w:left w:val="single" w:sz="4" w:space="0" w:color="auto"/>
              <w:right w:val="single" w:sz="4" w:space="0" w:color="auto"/>
            </w:tcBorders>
          </w:tcPr>
          <w:p w14:paraId="642D756A" w14:textId="77777777" w:rsidR="00CA6F06" w:rsidRPr="00A87470" w:rsidRDefault="00CA6F06" w:rsidP="00EB2848">
            <w:pPr>
              <w:rPr>
                <w:rFonts w:ascii="Calibri" w:eastAsia="Calibri" w:hAnsi="Calibri" w:cs="Times New Roman"/>
                <w:b/>
                <w:bCs/>
              </w:rPr>
            </w:pPr>
          </w:p>
        </w:tc>
        <w:tc>
          <w:tcPr>
            <w:tcW w:w="6335" w:type="dxa"/>
            <w:tcBorders>
              <w:left w:val="single" w:sz="4" w:space="0" w:color="auto"/>
              <w:bottom w:val="single" w:sz="4" w:space="0" w:color="auto"/>
            </w:tcBorders>
          </w:tcPr>
          <w:p w14:paraId="3EFE5579" w14:textId="77777777" w:rsidR="00CA6F06" w:rsidRPr="00A87470" w:rsidRDefault="00CA6F06" w:rsidP="00EB2848">
            <w:pPr>
              <w:rPr>
                <w:rFonts w:ascii="Calibri" w:eastAsia="Calibri" w:hAnsi="Calibri" w:cs="Times New Roman"/>
              </w:rPr>
            </w:pPr>
            <w:r w:rsidRPr="0039041C">
              <w:rPr>
                <w:rFonts w:ascii="Calibri" w:eastAsia="Calibri" w:hAnsi="Calibri" w:cs="Times New Roman"/>
              </w:rPr>
              <w:t>Maintenance/replacement and nutrition</w:t>
            </w:r>
            <w:r>
              <w:rPr>
                <w:rFonts w:ascii="Calibri" w:eastAsia="Calibri" w:hAnsi="Calibri" w:cs="Times New Roman"/>
              </w:rPr>
              <w:t xml:space="preserve"> fluids</w:t>
            </w:r>
          </w:p>
          <w:p w14:paraId="3E21E75D"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Crystalloids administered for reasons other than correcting hemodynamic impairment. If indication in the medical charts is unclear, crystalloids at a rate below 5 ml/kg/h will be classified as maintenance fluids</w:t>
            </w:r>
          </w:p>
          <w:p w14:paraId="35B59D8C" w14:textId="77777777" w:rsidR="00CA6F06" w:rsidRPr="004E1B23" w:rsidRDefault="00CA6F06" w:rsidP="00CA6F06">
            <w:pPr>
              <w:pStyle w:val="Listeafsnit"/>
              <w:numPr>
                <w:ilvl w:val="0"/>
                <w:numId w:val="20"/>
              </w:numPr>
              <w:spacing w:line="240" w:lineRule="auto"/>
              <w:ind w:left="1454"/>
              <w:rPr>
                <w:rFonts w:ascii="Calibri" w:eastAsia="Calibri" w:hAnsi="Calibri" w:cs="Times New Roman"/>
              </w:rPr>
            </w:pPr>
            <w:r w:rsidRPr="004E1B23">
              <w:rPr>
                <w:rFonts w:ascii="Calibri" w:eastAsia="Calibri" w:hAnsi="Calibri" w:cs="Times New Roman"/>
              </w:rPr>
              <w:t>Ringer</w:t>
            </w:r>
            <w:r w:rsidRPr="002D1E29">
              <w:rPr>
                <w:rFonts w:ascii="Calibri" w:eastAsia="Calibri" w:hAnsi="Calibri" w:cs="Times New Roman"/>
              </w:rPr>
              <w:t>’</w:t>
            </w:r>
            <w:r w:rsidRPr="004E1B23">
              <w:rPr>
                <w:rFonts w:ascii="Calibri" w:eastAsia="Calibri" w:hAnsi="Calibri" w:cs="Times New Roman"/>
              </w:rPr>
              <w:t>s acetate/lactate (ml)</w:t>
            </w:r>
          </w:p>
          <w:p w14:paraId="1369D7A2" w14:textId="77777777" w:rsidR="00CA6F06" w:rsidRPr="004E1B23" w:rsidRDefault="00CA6F06" w:rsidP="00CA6F06">
            <w:pPr>
              <w:pStyle w:val="Listeafsnit"/>
              <w:numPr>
                <w:ilvl w:val="0"/>
                <w:numId w:val="20"/>
              </w:numPr>
              <w:spacing w:line="240" w:lineRule="auto"/>
              <w:ind w:left="1454"/>
              <w:rPr>
                <w:rFonts w:ascii="Calibri" w:eastAsia="Calibri" w:hAnsi="Calibri" w:cs="Times New Roman"/>
              </w:rPr>
            </w:pPr>
            <w:r w:rsidRPr="004E1B23">
              <w:rPr>
                <w:rFonts w:ascii="Calibri" w:eastAsia="Calibri" w:hAnsi="Calibri" w:cs="Times New Roman"/>
              </w:rPr>
              <w:t>0.9% NaCl (ml)</w:t>
            </w:r>
          </w:p>
          <w:p w14:paraId="5E82182C" w14:textId="77777777" w:rsidR="00CA6F06" w:rsidRPr="004E1B23" w:rsidRDefault="00CA6F06" w:rsidP="00CA6F06">
            <w:pPr>
              <w:pStyle w:val="Listeafsnit"/>
              <w:numPr>
                <w:ilvl w:val="0"/>
                <w:numId w:val="20"/>
              </w:numPr>
              <w:spacing w:line="240" w:lineRule="auto"/>
              <w:ind w:left="1454"/>
              <w:rPr>
                <w:rFonts w:ascii="Calibri" w:eastAsia="Calibri" w:hAnsi="Calibri" w:cs="Times New Roman"/>
              </w:rPr>
            </w:pPr>
            <w:r w:rsidRPr="004E1B23">
              <w:rPr>
                <w:rFonts w:ascii="Calibri" w:eastAsia="Calibri" w:hAnsi="Calibri" w:cs="Times New Roman"/>
              </w:rPr>
              <w:t>Other (ml)</w:t>
            </w:r>
          </w:p>
          <w:p w14:paraId="3FE64446"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Glucose solution (specify concentration)</w:t>
            </w:r>
          </w:p>
          <w:p w14:paraId="7FD607AB" w14:textId="77777777" w:rsidR="00CA6F06" w:rsidRPr="00A87470" w:rsidRDefault="00CA6F06" w:rsidP="00CA6F06">
            <w:pPr>
              <w:numPr>
                <w:ilvl w:val="0"/>
                <w:numId w:val="18"/>
              </w:numPr>
              <w:spacing w:line="240" w:lineRule="auto"/>
              <w:ind w:left="1596"/>
              <w:contextualSpacing/>
              <w:rPr>
                <w:rFonts w:ascii="Calibri" w:eastAsia="Calibri" w:hAnsi="Calibri" w:cs="Times New Roman"/>
              </w:rPr>
            </w:pPr>
            <w:r w:rsidRPr="00A87470">
              <w:rPr>
                <w:rFonts w:ascii="Calibri" w:eastAsia="Calibri" w:hAnsi="Calibri" w:cs="Times New Roman"/>
              </w:rPr>
              <w:t>Glucose solution 2.5% (ml)</w:t>
            </w:r>
          </w:p>
          <w:p w14:paraId="50F12DF2" w14:textId="77777777" w:rsidR="00CA6F06" w:rsidRPr="00A87470" w:rsidRDefault="00CA6F06" w:rsidP="00CA6F06">
            <w:pPr>
              <w:numPr>
                <w:ilvl w:val="0"/>
                <w:numId w:val="18"/>
              </w:numPr>
              <w:spacing w:line="240" w:lineRule="auto"/>
              <w:ind w:left="1596"/>
              <w:contextualSpacing/>
              <w:rPr>
                <w:rFonts w:ascii="Calibri" w:eastAsia="Calibri" w:hAnsi="Calibri" w:cs="Times New Roman"/>
              </w:rPr>
            </w:pPr>
            <w:r w:rsidRPr="00A87470">
              <w:rPr>
                <w:rFonts w:ascii="Calibri" w:eastAsia="Calibri" w:hAnsi="Calibri" w:cs="Times New Roman"/>
              </w:rPr>
              <w:t>Glucose solution 5% (ml)</w:t>
            </w:r>
          </w:p>
          <w:p w14:paraId="4F7C7C72" w14:textId="77777777" w:rsidR="00CA6F06" w:rsidRPr="002D1E29" w:rsidRDefault="00CA6F06" w:rsidP="00CA6F06">
            <w:pPr>
              <w:numPr>
                <w:ilvl w:val="0"/>
                <w:numId w:val="18"/>
              </w:numPr>
              <w:spacing w:line="240" w:lineRule="auto"/>
              <w:ind w:left="1596"/>
              <w:contextualSpacing/>
              <w:rPr>
                <w:rFonts w:ascii="Calibri" w:eastAsia="Calibri" w:hAnsi="Calibri" w:cs="Times New Roman"/>
              </w:rPr>
            </w:pPr>
            <w:r w:rsidRPr="00A87470">
              <w:rPr>
                <w:rFonts w:ascii="Calibri" w:eastAsia="Calibri" w:hAnsi="Calibri" w:cs="Times New Roman"/>
              </w:rPr>
              <w:t>Glucose solution 10% (ml)</w:t>
            </w:r>
          </w:p>
          <w:p w14:paraId="75BF11F4" w14:textId="77777777" w:rsidR="00CA6F06" w:rsidRPr="002D1E29" w:rsidRDefault="00CA6F06" w:rsidP="00CA6F06">
            <w:pPr>
              <w:numPr>
                <w:ilvl w:val="0"/>
                <w:numId w:val="18"/>
              </w:numPr>
              <w:spacing w:line="240" w:lineRule="auto"/>
              <w:ind w:left="1596"/>
              <w:contextualSpacing/>
              <w:rPr>
                <w:rFonts w:ascii="Calibri" w:eastAsia="Calibri" w:hAnsi="Calibri" w:cs="Times New Roman"/>
              </w:rPr>
            </w:pPr>
            <w:r w:rsidRPr="00A87470">
              <w:rPr>
                <w:rFonts w:ascii="Calibri" w:eastAsia="Calibri" w:hAnsi="Calibri" w:cs="Times New Roman"/>
              </w:rPr>
              <w:t>Glucose solution 20% (ml)</w:t>
            </w:r>
          </w:p>
          <w:p w14:paraId="3E20B71A" w14:textId="77777777" w:rsidR="00CA6F06" w:rsidRPr="002D1E29" w:rsidRDefault="00CA6F06" w:rsidP="00CA6F06">
            <w:pPr>
              <w:numPr>
                <w:ilvl w:val="0"/>
                <w:numId w:val="21"/>
              </w:numPr>
              <w:spacing w:after="100" w:afterAutospacing="1" w:line="240" w:lineRule="auto"/>
              <w:ind w:left="1596"/>
              <w:contextualSpacing/>
            </w:pPr>
            <w:r w:rsidRPr="002D1E29">
              <w:rPr>
                <w:rFonts w:ascii="Calibri" w:eastAsia="Calibri" w:hAnsi="Calibri" w:cs="Times New Roman"/>
              </w:rPr>
              <w:t>Other glucose strength</w:t>
            </w:r>
          </w:p>
          <w:p w14:paraId="081D24DC"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Parenteral nutrition [premixed bags with fats, proteins and glucose] (ml)</w:t>
            </w:r>
          </w:p>
          <w:p w14:paraId="611BB92D" w14:textId="77777777" w:rsidR="00CA6F06"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Enteral nutrition (ml)</w:t>
            </w:r>
          </w:p>
          <w:p w14:paraId="7F9BE875" w14:textId="77777777" w:rsidR="00CA6F06"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Enteral water (ml)</w:t>
            </w:r>
          </w:p>
          <w:p w14:paraId="1B31CD0A" w14:textId="77777777" w:rsidR="00CA6F06" w:rsidRPr="00890DEA" w:rsidRDefault="00CA6F06" w:rsidP="00EB2848">
            <w:pPr>
              <w:contextualSpacing/>
              <w:rPr>
                <w:rFonts w:ascii="Calibri" w:eastAsia="Calibri" w:hAnsi="Calibri" w:cs="Times New Roman"/>
                <w:lang w:val="en-US"/>
              </w:rPr>
            </w:pPr>
            <w:r w:rsidRPr="00890DEA">
              <w:rPr>
                <w:rFonts w:ascii="Calibri" w:eastAsia="Calibri" w:hAnsi="Calibri" w:cs="Times New Roman"/>
                <w:lang w:val="en-US"/>
              </w:rPr>
              <w:t>Full enteral nutrition [as per calculated daily need of calories] (Y/N)</w:t>
            </w:r>
          </w:p>
          <w:p w14:paraId="6093A7E9" w14:textId="77777777" w:rsidR="00CA6F06" w:rsidRPr="00890DEA" w:rsidRDefault="00CA6F06" w:rsidP="00EB2848">
            <w:pPr>
              <w:contextualSpacing/>
              <w:rPr>
                <w:rFonts w:ascii="Calibri" w:eastAsia="Calibri" w:hAnsi="Calibri" w:cs="Times New Roman"/>
                <w:lang w:val="en-US"/>
              </w:rPr>
            </w:pPr>
            <w:r w:rsidRPr="00890DEA">
              <w:rPr>
                <w:rFonts w:ascii="Calibri" w:eastAsia="Calibri" w:hAnsi="Calibri" w:cs="Times New Roman"/>
                <w:lang w:val="en-US"/>
              </w:rPr>
              <w:t>Total caloric intake [including Propofol and glucose solutions] (kcal)</w:t>
            </w:r>
          </w:p>
          <w:p w14:paraId="1B9D8717" w14:textId="77777777" w:rsidR="00CA6F06" w:rsidRPr="00890DEA" w:rsidRDefault="00CA6F06" w:rsidP="00EB2848">
            <w:pPr>
              <w:contextualSpacing/>
              <w:rPr>
                <w:rFonts w:ascii="Calibri" w:eastAsia="Calibri" w:hAnsi="Calibri" w:cs="Times New Roman"/>
                <w:lang w:val="en-US"/>
              </w:rPr>
            </w:pPr>
            <w:r w:rsidRPr="00890DEA">
              <w:rPr>
                <w:rFonts w:ascii="Calibri" w:eastAsia="Calibri" w:hAnsi="Calibri" w:cs="Times New Roman"/>
                <w:lang w:val="en-US"/>
              </w:rPr>
              <w:t>Any extra sodium added to any of the intravenous fluids (mmol)</w:t>
            </w:r>
          </w:p>
        </w:tc>
      </w:tr>
      <w:tr w:rsidR="00CA6F06" w:rsidRPr="00EB2848" w14:paraId="76BC1C15" w14:textId="77777777" w:rsidTr="00EB2848">
        <w:tc>
          <w:tcPr>
            <w:tcW w:w="2828" w:type="dxa"/>
            <w:vMerge/>
            <w:tcBorders>
              <w:top w:val="single" w:sz="4" w:space="0" w:color="auto"/>
              <w:left w:val="single" w:sz="4" w:space="0" w:color="auto"/>
              <w:right w:val="single" w:sz="4" w:space="0" w:color="auto"/>
            </w:tcBorders>
          </w:tcPr>
          <w:p w14:paraId="09E7ECCC" w14:textId="77777777" w:rsidR="00CA6F06" w:rsidRPr="00890DEA" w:rsidRDefault="00CA6F06" w:rsidP="00EB2848">
            <w:pPr>
              <w:rPr>
                <w:rFonts w:ascii="Calibri" w:eastAsia="Calibri" w:hAnsi="Calibri" w:cs="Times New Roman"/>
                <w:b/>
                <w:bCs/>
                <w:lang w:val="en-US"/>
              </w:rPr>
            </w:pPr>
          </w:p>
        </w:tc>
        <w:tc>
          <w:tcPr>
            <w:tcW w:w="6335" w:type="dxa"/>
            <w:tcBorders>
              <w:left w:val="single" w:sz="4" w:space="0" w:color="auto"/>
              <w:bottom w:val="single" w:sz="4" w:space="0" w:color="auto"/>
            </w:tcBorders>
          </w:tcPr>
          <w:p w14:paraId="2173F8E5" w14:textId="77777777" w:rsidR="00CA6F06" w:rsidRDefault="00CA6F06" w:rsidP="00EB2848">
            <w:pPr>
              <w:rPr>
                <w:rFonts w:ascii="Calibri" w:eastAsia="Calibri" w:hAnsi="Calibri" w:cs="Times New Roman"/>
              </w:rPr>
            </w:pPr>
            <w:r>
              <w:rPr>
                <w:rFonts w:ascii="Calibri" w:eastAsia="Calibri" w:hAnsi="Calibri" w:cs="Times New Roman"/>
              </w:rPr>
              <w:t>Fluids for electrolyte disturbances</w:t>
            </w:r>
          </w:p>
          <w:p w14:paraId="7920382A" w14:textId="77777777" w:rsidR="00CA6F06" w:rsidRPr="00890DEA" w:rsidRDefault="00CA6F06" w:rsidP="00CA6F06">
            <w:pPr>
              <w:pStyle w:val="Listeafsnit"/>
              <w:numPr>
                <w:ilvl w:val="0"/>
                <w:numId w:val="22"/>
              </w:numPr>
              <w:spacing w:line="240" w:lineRule="auto"/>
              <w:rPr>
                <w:rFonts w:ascii="Calibri" w:eastAsia="Calibri" w:hAnsi="Calibri" w:cs="Times New Roman"/>
                <w:lang w:val="en-US"/>
              </w:rPr>
            </w:pPr>
            <w:r w:rsidRPr="00890DEA">
              <w:rPr>
                <w:rFonts w:ascii="Calibri" w:eastAsia="Calibri" w:hAnsi="Calibri" w:cs="Times New Roman"/>
                <w:lang w:val="en-US"/>
              </w:rPr>
              <w:t>Intravenous fluids given to correct electrolyte disturbances (mL)</w:t>
            </w:r>
          </w:p>
          <w:p w14:paraId="64178E54" w14:textId="77777777" w:rsidR="00CA6F06" w:rsidRPr="00890DEA" w:rsidRDefault="00CA6F06" w:rsidP="00CA6F06">
            <w:pPr>
              <w:pStyle w:val="Listeafsnit"/>
              <w:numPr>
                <w:ilvl w:val="0"/>
                <w:numId w:val="22"/>
              </w:numPr>
              <w:spacing w:line="240" w:lineRule="auto"/>
              <w:rPr>
                <w:rFonts w:ascii="Calibri" w:eastAsia="Calibri" w:hAnsi="Calibri" w:cs="Times New Roman"/>
                <w:lang w:val="en-US"/>
              </w:rPr>
            </w:pPr>
            <w:r w:rsidRPr="00890DEA">
              <w:rPr>
                <w:rFonts w:ascii="Calibri" w:eastAsia="Calibri" w:hAnsi="Calibri" w:cs="Times New Roman"/>
                <w:lang w:val="en-US"/>
              </w:rPr>
              <w:t>Enteral water given to correct electrolyte disturbances (mL)</w:t>
            </w:r>
          </w:p>
        </w:tc>
      </w:tr>
      <w:tr w:rsidR="00CA6F06" w:rsidRPr="002D1E29" w14:paraId="482243ED" w14:textId="77777777" w:rsidTr="00EB2848">
        <w:tc>
          <w:tcPr>
            <w:tcW w:w="2828" w:type="dxa"/>
            <w:vMerge/>
            <w:tcBorders>
              <w:top w:val="single" w:sz="4" w:space="0" w:color="auto"/>
              <w:left w:val="single" w:sz="4" w:space="0" w:color="auto"/>
              <w:right w:val="single" w:sz="4" w:space="0" w:color="auto"/>
            </w:tcBorders>
          </w:tcPr>
          <w:p w14:paraId="298E3D3A" w14:textId="77777777" w:rsidR="00CA6F06" w:rsidRPr="00890DEA" w:rsidRDefault="00CA6F06" w:rsidP="00EB2848">
            <w:pPr>
              <w:rPr>
                <w:rFonts w:ascii="Calibri" w:eastAsia="Calibri" w:hAnsi="Calibri" w:cs="Times New Roman"/>
                <w:b/>
                <w:bCs/>
                <w:lang w:val="en-US"/>
              </w:rPr>
            </w:pPr>
          </w:p>
        </w:tc>
        <w:tc>
          <w:tcPr>
            <w:tcW w:w="6335" w:type="dxa"/>
            <w:tcBorders>
              <w:left w:val="single" w:sz="4" w:space="0" w:color="auto"/>
              <w:bottom w:val="single" w:sz="4" w:space="0" w:color="auto"/>
            </w:tcBorders>
          </w:tcPr>
          <w:p w14:paraId="50CFAD9D"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Diuretics (Y/N), if yes, specify:</w:t>
            </w:r>
          </w:p>
          <w:p w14:paraId="4A444E2E"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Loop diuretics (mg</w:t>
            </w:r>
            <w:r>
              <w:rPr>
                <w:rFonts w:ascii="Calibri" w:eastAsia="Calibri" w:hAnsi="Calibri" w:cs="Times New Roman"/>
              </w:rPr>
              <w:t>/24h</w:t>
            </w:r>
            <w:r w:rsidRPr="00A87470">
              <w:rPr>
                <w:rFonts w:ascii="Calibri" w:eastAsia="Calibri" w:hAnsi="Calibri" w:cs="Times New Roman"/>
              </w:rPr>
              <w:t>)</w:t>
            </w:r>
          </w:p>
          <w:p w14:paraId="39781500" w14:textId="77777777" w:rsidR="00CA6F06"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Carbanhydrase inhibitors (</w:t>
            </w:r>
            <w:r>
              <w:rPr>
                <w:rFonts w:ascii="Calibri" w:eastAsia="Calibri" w:hAnsi="Calibri" w:cs="Times New Roman"/>
              </w:rPr>
              <w:t>Y/N</w:t>
            </w:r>
            <w:r w:rsidRPr="00A87470">
              <w:rPr>
                <w:rFonts w:ascii="Calibri" w:eastAsia="Calibri" w:hAnsi="Calibri" w:cs="Times New Roman"/>
              </w:rPr>
              <w:t>)</w:t>
            </w:r>
          </w:p>
          <w:p w14:paraId="4ECA761E" w14:textId="77777777" w:rsidR="00CA6F06" w:rsidRPr="00841696"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Other</w:t>
            </w:r>
          </w:p>
        </w:tc>
      </w:tr>
      <w:tr w:rsidR="00CA6F06" w:rsidRPr="00EB2848" w14:paraId="5B4EDAA2" w14:textId="77777777" w:rsidTr="00EB2848">
        <w:trPr>
          <w:trHeight w:val="1472"/>
        </w:trPr>
        <w:tc>
          <w:tcPr>
            <w:tcW w:w="2828" w:type="dxa"/>
            <w:vMerge/>
            <w:tcBorders>
              <w:left w:val="single" w:sz="4" w:space="0" w:color="auto"/>
              <w:right w:val="single" w:sz="4" w:space="0" w:color="auto"/>
            </w:tcBorders>
          </w:tcPr>
          <w:p w14:paraId="6594AB92" w14:textId="77777777" w:rsidR="00CA6F06" w:rsidRPr="00A87470" w:rsidRDefault="00CA6F06" w:rsidP="00EB2848">
            <w:pPr>
              <w:rPr>
                <w:rFonts w:ascii="Calibri" w:eastAsia="Calibri" w:hAnsi="Calibri" w:cs="Times New Roman"/>
              </w:rPr>
            </w:pPr>
          </w:p>
        </w:tc>
        <w:tc>
          <w:tcPr>
            <w:tcW w:w="6335" w:type="dxa"/>
            <w:tcBorders>
              <w:top w:val="single" w:sz="4" w:space="0" w:color="auto"/>
              <w:left w:val="single" w:sz="4" w:space="0" w:color="auto"/>
              <w:bottom w:val="single" w:sz="4" w:space="0" w:color="auto"/>
            </w:tcBorders>
          </w:tcPr>
          <w:p w14:paraId="1386DD07"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Fluid output</w:t>
            </w:r>
          </w:p>
          <w:p w14:paraId="37DA18FB"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Urinary output (ml)</w:t>
            </w:r>
          </w:p>
          <w:p w14:paraId="44FD1AF1"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Drains (ml)</w:t>
            </w:r>
          </w:p>
          <w:p w14:paraId="3CFF6D83"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Hemorrhage (ml)</w:t>
            </w:r>
          </w:p>
          <w:p w14:paraId="2E190BE3"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Faeces [if liquid] (ml)</w:t>
            </w:r>
          </w:p>
          <w:p w14:paraId="11E9E061"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Fluid removal in RRT (ml)</w:t>
            </w:r>
          </w:p>
          <w:p w14:paraId="5451A5B4"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lastRenderedPageBreak/>
              <w:t>Other losses [evaporation excluded] (ml)</w:t>
            </w:r>
          </w:p>
        </w:tc>
      </w:tr>
      <w:tr w:rsidR="00CA6F06" w:rsidRPr="00DD2A33" w14:paraId="02C7D562" w14:textId="77777777" w:rsidTr="00EB2848">
        <w:tc>
          <w:tcPr>
            <w:tcW w:w="2828" w:type="dxa"/>
            <w:vMerge/>
            <w:tcBorders>
              <w:left w:val="single" w:sz="4" w:space="0" w:color="auto"/>
              <w:right w:val="single" w:sz="4" w:space="0" w:color="auto"/>
            </w:tcBorders>
          </w:tcPr>
          <w:p w14:paraId="7B26566F" w14:textId="77777777" w:rsidR="00CA6F06" w:rsidRPr="00890DEA" w:rsidRDefault="00CA6F06" w:rsidP="00EB2848">
            <w:pPr>
              <w:rPr>
                <w:rFonts w:ascii="Calibri" w:eastAsia="Calibri" w:hAnsi="Calibri" w:cs="Times New Roman"/>
                <w:lang w:val="en-US"/>
              </w:rPr>
            </w:pPr>
          </w:p>
        </w:tc>
        <w:tc>
          <w:tcPr>
            <w:tcW w:w="6335" w:type="dxa"/>
            <w:tcBorders>
              <w:top w:val="single" w:sz="4" w:space="0" w:color="auto"/>
              <w:left w:val="single" w:sz="4" w:space="0" w:color="auto"/>
              <w:bottom w:val="single" w:sz="4" w:space="0" w:color="auto"/>
            </w:tcBorders>
          </w:tcPr>
          <w:p w14:paraId="08CEDB83" w14:textId="77777777" w:rsidR="00CA6F06" w:rsidRPr="00A87470" w:rsidRDefault="00CA6F06" w:rsidP="00EB2848">
            <w:pPr>
              <w:rPr>
                <w:rFonts w:ascii="Calibri" w:eastAsia="Calibri" w:hAnsi="Calibri" w:cs="Times New Roman"/>
              </w:rPr>
            </w:pPr>
            <w:r>
              <w:rPr>
                <w:rFonts w:ascii="Calibri" w:eastAsia="Calibri" w:hAnsi="Calibri" w:cs="Times New Roman"/>
              </w:rPr>
              <w:t>Weight (kg)</w:t>
            </w:r>
          </w:p>
        </w:tc>
      </w:tr>
      <w:tr w:rsidR="00CA6F06" w:rsidRPr="00EB2848" w14:paraId="4DD7A731" w14:textId="77777777" w:rsidTr="00EB2848">
        <w:tc>
          <w:tcPr>
            <w:tcW w:w="2828" w:type="dxa"/>
            <w:vMerge/>
            <w:tcBorders>
              <w:left w:val="single" w:sz="4" w:space="0" w:color="auto"/>
              <w:right w:val="single" w:sz="4" w:space="0" w:color="auto"/>
            </w:tcBorders>
          </w:tcPr>
          <w:p w14:paraId="4751CB32" w14:textId="77777777" w:rsidR="00CA6F06" w:rsidRPr="00A87470" w:rsidRDefault="00CA6F06" w:rsidP="00EB2848">
            <w:pPr>
              <w:rPr>
                <w:rFonts w:ascii="Calibri" w:eastAsia="Calibri" w:hAnsi="Calibri" w:cs="Times New Roman"/>
              </w:rPr>
            </w:pPr>
          </w:p>
        </w:tc>
        <w:tc>
          <w:tcPr>
            <w:tcW w:w="6335" w:type="dxa"/>
            <w:tcBorders>
              <w:top w:val="single" w:sz="4" w:space="0" w:color="auto"/>
              <w:left w:val="single" w:sz="4" w:space="0" w:color="auto"/>
              <w:bottom w:val="single" w:sz="4" w:space="0" w:color="auto"/>
            </w:tcBorders>
          </w:tcPr>
          <w:p w14:paraId="27ED18A8"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Fluid balance goal for next 24h (Y/N, and volume in mL)</w:t>
            </w:r>
          </w:p>
        </w:tc>
      </w:tr>
      <w:tr w:rsidR="00CA6F06" w:rsidRPr="00EB2848" w14:paraId="1C1C2DE2" w14:textId="77777777" w:rsidTr="00EB2848">
        <w:tc>
          <w:tcPr>
            <w:tcW w:w="2828" w:type="dxa"/>
            <w:vMerge/>
            <w:tcBorders>
              <w:left w:val="single" w:sz="4" w:space="0" w:color="auto"/>
              <w:right w:val="single" w:sz="4" w:space="0" w:color="auto"/>
            </w:tcBorders>
          </w:tcPr>
          <w:p w14:paraId="6535EB8C" w14:textId="77777777" w:rsidR="00CA6F06" w:rsidRPr="00890DEA" w:rsidRDefault="00CA6F06" w:rsidP="00EB2848">
            <w:pPr>
              <w:rPr>
                <w:rFonts w:ascii="Calibri" w:eastAsia="Calibri" w:hAnsi="Calibri" w:cs="Times New Roman"/>
                <w:lang w:val="en-US"/>
              </w:rPr>
            </w:pPr>
          </w:p>
        </w:tc>
        <w:tc>
          <w:tcPr>
            <w:tcW w:w="6335" w:type="dxa"/>
            <w:tcBorders>
              <w:top w:val="single" w:sz="4" w:space="0" w:color="auto"/>
              <w:left w:val="single" w:sz="4" w:space="0" w:color="auto"/>
              <w:bottom w:val="single" w:sz="4" w:space="0" w:color="auto"/>
            </w:tcBorders>
          </w:tcPr>
          <w:p w14:paraId="609A5783"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Body temperature [highest] (degrees Celsius)</w:t>
            </w:r>
          </w:p>
        </w:tc>
      </w:tr>
      <w:tr w:rsidR="00CA6F06" w:rsidRPr="00EB2848" w14:paraId="0137AB38" w14:textId="77777777" w:rsidTr="00EB2848">
        <w:tc>
          <w:tcPr>
            <w:tcW w:w="2828" w:type="dxa"/>
            <w:vMerge/>
            <w:tcBorders>
              <w:left w:val="single" w:sz="4" w:space="0" w:color="auto"/>
              <w:right w:val="single" w:sz="4" w:space="0" w:color="auto"/>
            </w:tcBorders>
          </w:tcPr>
          <w:p w14:paraId="00190328" w14:textId="77777777" w:rsidR="00CA6F06" w:rsidRPr="00890DEA" w:rsidRDefault="00CA6F06" w:rsidP="00EB2848">
            <w:pPr>
              <w:rPr>
                <w:rFonts w:ascii="Calibri" w:eastAsia="Calibri" w:hAnsi="Calibri" w:cs="Times New Roman"/>
                <w:lang w:val="en-US"/>
              </w:rPr>
            </w:pPr>
          </w:p>
        </w:tc>
        <w:tc>
          <w:tcPr>
            <w:tcW w:w="6335" w:type="dxa"/>
            <w:tcBorders>
              <w:top w:val="single" w:sz="4" w:space="0" w:color="auto"/>
              <w:left w:val="single" w:sz="4" w:space="0" w:color="auto"/>
              <w:bottom w:val="single" w:sz="4" w:space="0" w:color="auto"/>
            </w:tcBorders>
          </w:tcPr>
          <w:p w14:paraId="5A9AD704"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Glasgow Coma Scale [highest] (GCS)</w:t>
            </w:r>
          </w:p>
        </w:tc>
      </w:tr>
      <w:tr w:rsidR="00CA6F06" w:rsidRPr="001335A2" w14:paraId="6E5EDCE5" w14:textId="77777777" w:rsidTr="00EB2848">
        <w:tc>
          <w:tcPr>
            <w:tcW w:w="2828" w:type="dxa"/>
            <w:vMerge/>
            <w:tcBorders>
              <w:left w:val="single" w:sz="4" w:space="0" w:color="auto"/>
              <w:right w:val="single" w:sz="4" w:space="0" w:color="auto"/>
            </w:tcBorders>
          </w:tcPr>
          <w:p w14:paraId="4FB040A2" w14:textId="77777777" w:rsidR="00CA6F06" w:rsidRPr="00890DEA" w:rsidRDefault="00CA6F06" w:rsidP="00EB2848">
            <w:pPr>
              <w:rPr>
                <w:rFonts w:ascii="Calibri" w:eastAsia="Calibri" w:hAnsi="Calibri" w:cs="Times New Roman"/>
                <w:lang w:val="en-US"/>
              </w:rPr>
            </w:pPr>
          </w:p>
        </w:tc>
        <w:tc>
          <w:tcPr>
            <w:tcW w:w="6335" w:type="dxa"/>
            <w:tcBorders>
              <w:top w:val="single" w:sz="4" w:space="0" w:color="auto"/>
              <w:left w:val="single" w:sz="4" w:space="0" w:color="auto"/>
              <w:bottom w:val="single" w:sz="4" w:space="0" w:color="auto"/>
            </w:tcBorders>
          </w:tcPr>
          <w:p w14:paraId="37AC7705"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Creatinine [highest](</w:t>
            </w:r>
            <w:r w:rsidRPr="00A87470">
              <w:rPr>
                <w:rFonts w:ascii="Calibri" w:eastAsia="Calibri" w:hAnsi="Calibri" w:cs="Calibri"/>
              </w:rPr>
              <w:t>μ</w:t>
            </w:r>
            <w:r w:rsidRPr="00A87470">
              <w:rPr>
                <w:rFonts w:ascii="Calibri" w:eastAsia="Calibri" w:hAnsi="Calibri" w:cs="Times New Roman"/>
              </w:rPr>
              <w:t>mol/L)</w:t>
            </w:r>
          </w:p>
        </w:tc>
      </w:tr>
      <w:tr w:rsidR="00CA6F06" w:rsidRPr="00EB2848" w14:paraId="256D1930" w14:textId="77777777" w:rsidTr="00EB2848">
        <w:tc>
          <w:tcPr>
            <w:tcW w:w="2828" w:type="dxa"/>
            <w:vMerge/>
            <w:tcBorders>
              <w:left w:val="single" w:sz="4" w:space="0" w:color="auto"/>
              <w:right w:val="single" w:sz="4" w:space="0" w:color="auto"/>
            </w:tcBorders>
          </w:tcPr>
          <w:p w14:paraId="484D347A" w14:textId="77777777" w:rsidR="00CA6F06" w:rsidRPr="00A87470" w:rsidRDefault="00CA6F06" w:rsidP="00EB2848">
            <w:pPr>
              <w:rPr>
                <w:rFonts w:ascii="Calibri" w:eastAsia="Calibri" w:hAnsi="Calibri" w:cs="Times New Roman"/>
              </w:rPr>
            </w:pPr>
          </w:p>
        </w:tc>
        <w:tc>
          <w:tcPr>
            <w:tcW w:w="6335" w:type="dxa"/>
            <w:tcBorders>
              <w:top w:val="single" w:sz="4" w:space="0" w:color="auto"/>
              <w:left w:val="single" w:sz="4" w:space="0" w:color="auto"/>
              <w:bottom w:val="single" w:sz="4" w:space="0" w:color="auto"/>
            </w:tcBorders>
          </w:tcPr>
          <w:p w14:paraId="54E30CC1"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Renal replacement therapy (Y/N)</w:t>
            </w:r>
          </w:p>
        </w:tc>
      </w:tr>
      <w:tr w:rsidR="00CA6F06" w:rsidRPr="001335A2" w14:paraId="3E10DDA4" w14:textId="77777777" w:rsidTr="00EB2848">
        <w:tc>
          <w:tcPr>
            <w:tcW w:w="2828" w:type="dxa"/>
            <w:vMerge/>
            <w:tcBorders>
              <w:left w:val="single" w:sz="4" w:space="0" w:color="auto"/>
              <w:right w:val="single" w:sz="4" w:space="0" w:color="auto"/>
            </w:tcBorders>
          </w:tcPr>
          <w:p w14:paraId="656C0E71" w14:textId="77777777" w:rsidR="00CA6F06" w:rsidRPr="00890DEA" w:rsidRDefault="00CA6F06" w:rsidP="00EB2848">
            <w:pPr>
              <w:rPr>
                <w:rFonts w:ascii="Calibri" w:eastAsia="Calibri" w:hAnsi="Calibri" w:cs="Times New Roman"/>
                <w:lang w:val="en-US"/>
              </w:rPr>
            </w:pPr>
          </w:p>
        </w:tc>
        <w:tc>
          <w:tcPr>
            <w:tcW w:w="6335" w:type="dxa"/>
            <w:tcBorders>
              <w:top w:val="single" w:sz="4" w:space="0" w:color="auto"/>
              <w:left w:val="single" w:sz="4" w:space="0" w:color="auto"/>
              <w:bottom w:val="single" w:sz="4" w:space="0" w:color="auto"/>
            </w:tcBorders>
          </w:tcPr>
          <w:p w14:paraId="7D72F43E" w14:textId="77777777" w:rsidR="00CA6F06" w:rsidRPr="00A87470" w:rsidRDefault="00CA6F06" w:rsidP="00EB2848">
            <w:pPr>
              <w:rPr>
                <w:rFonts w:ascii="Calibri" w:eastAsia="Calibri" w:hAnsi="Calibri" w:cs="Times New Roman"/>
              </w:rPr>
            </w:pPr>
            <w:r w:rsidRPr="003856F7">
              <w:rPr>
                <w:rFonts w:ascii="Calibri" w:eastAsia="Calibri" w:hAnsi="Calibri" w:cs="Times New Roman"/>
              </w:rPr>
              <w:t>Earliest urea</w:t>
            </w:r>
            <w:r>
              <w:rPr>
                <w:rFonts w:ascii="Calibri" w:eastAsia="Calibri" w:hAnsi="Calibri" w:cs="Times New Roman"/>
              </w:rPr>
              <w:t xml:space="preserve"> (mmol/L)</w:t>
            </w:r>
          </w:p>
        </w:tc>
      </w:tr>
      <w:tr w:rsidR="00CA6F06" w:rsidRPr="001335A2" w14:paraId="40A030E5" w14:textId="77777777" w:rsidTr="00EB2848">
        <w:tc>
          <w:tcPr>
            <w:tcW w:w="2828" w:type="dxa"/>
            <w:vMerge/>
            <w:tcBorders>
              <w:left w:val="single" w:sz="4" w:space="0" w:color="auto"/>
              <w:right w:val="single" w:sz="4" w:space="0" w:color="auto"/>
            </w:tcBorders>
          </w:tcPr>
          <w:p w14:paraId="2813C4CE" w14:textId="77777777" w:rsidR="00CA6F06" w:rsidRPr="00A87470" w:rsidRDefault="00CA6F06" w:rsidP="00EB2848">
            <w:pPr>
              <w:rPr>
                <w:rFonts w:ascii="Calibri" w:eastAsia="Calibri" w:hAnsi="Calibri" w:cs="Times New Roman"/>
              </w:rPr>
            </w:pPr>
          </w:p>
        </w:tc>
        <w:tc>
          <w:tcPr>
            <w:tcW w:w="6335" w:type="dxa"/>
            <w:tcBorders>
              <w:top w:val="single" w:sz="4" w:space="0" w:color="auto"/>
              <w:left w:val="single" w:sz="4" w:space="0" w:color="auto"/>
              <w:bottom w:val="single" w:sz="4" w:space="0" w:color="auto"/>
            </w:tcBorders>
          </w:tcPr>
          <w:p w14:paraId="1971DFB7" w14:textId="77777777" w:rsidR="00CA6F06" w:rsidRPr="003856F7" w:rsidRDefault="00CA6F06" w:rsidP="00EB2848">
            <w:pPr>
              <w:rPr>
                <w:rFonts w:ascii="Calibri" w:eastAsia="Calibri" w:hAnsi="Calibri" w:cs="Times New Roman"/>
              </w:rPr>
            </w:pPr>
            <w:r w:rsidRPr="00A87470">
              <w:rPr>
                <w:rFonts w:ascii="Calibri" w:eastAsia="Calibri" w:hAnsi="Calibri" w:cs="Times New Roman"/>
              </w:rPr>
              <w:t>Plasma bilirubin [highest] (</w:t>
            </w:r>
            <w:r w:rsidRPr="00A87470">
              <w:rPr>
                <w:rFonts w:ascii="Calibri" w:eastAsia="Calibri" w:hAnsi="Calibri" w:cs="Calibri"/>
              </w:rPr>
              <w:t>μ</w:t>
            </w:r>
            <w:r w:rsidRPr="00A87470">
              <w:rPr>
                <w:rFonts w:ascii="Calibri" w:eastAsia="Calibri" w:hAnsi="Calibri" w:cs="Times New Roman"/>
              </w:rPr>
              <w:t>mol/L)</w:t>
            </w:r>
          </w:p>
        </w:tc>
      </w:tr>
      <w:tr w:rsidR="00CA6F06" w:rsidRPr="00EB2848" w14:paraId="65FE9819" w14:textId="77777777" w:rsidTr="00EB2848">
        <w:tc>
          <w:tcPr>
            <w:tcW w:w="2828" w:type="dxa"/>
            <w:vMerge/>
            <w:tcBorders>
              <w:left w:val="single" w:sz="4" w:space="0" w:color="auto"/>
              <w:right w:val="single" w:sz="4" w:space="0" w:color="auto"/>
            </w:tcBorders>
          </w:tcPr>
          <w:p w14:paraId="5C808A9F" w14:textId="77777777" w:rsidR="00CA6F06" w:rsidRPr="00A87470" w:rsidRDefault="00CA6F06" w:rsidP="00EB2848">
            <w:pPr>
              <w:rPr>
                <w:rFonts w:ascii="Calibri" w:eastAsia="Calibri" w:hAnsi="Calibri" w:cs="Times New Roman"/>
              </w:rPr>
            </w:pPr>
          </w:p>
        </w:tc>
        <w:tc>
          <w:tcPr>
            <w:tcW w:w="6335" w:type="dxa"/>
            <w:tcBorders>
              <w:top w:val="single" w:sz="4" w:space="0" w:color="auto"/>
              <w:left w:val="single" w:sz="4" w:space="0" w:color="auto"/>
              <w:bottom w:val="single" w:sz="4" w:space="0" w:color="auto"/>
            </w:tcBorders>
          </w:tcPr>
          <w:p w14:paraId="4A52CFE6"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Platelet count [lowest] (x10</w:t>
            </w:r>
            <w:r w:rsidRPr="00890DEA">
              <w:rPr>
                <w:rFonts w:ascii="Calibri" w:eastAsia="Calibri" w:hAnsi="Calibri" w:cs="Times New Roman"/>
                <w:vertAlign w:val="superscript"/>
                <w:lang w:val="en-US"/>
              </w:rPr>
              <w:t>9</w:t>
            </w:r>
            <w:r w:rsidRPr="00890DEA">
              <w:rPr>
                <w:rFonts w:ascii="Calibri" w:eastAsia="Calibri" w:hAnsi="Calibri" w:cs="Times New Roman"/>
                <w:lang w:val="en-US"/>
              </w:rPr>
              <w:t>/L)</w:t>
            </w:r>
          </w:p>
        </w:tc>
      </w:tr>
      <w:tr w:rsidR="00CA6F06" w:rsidRPr="00EB2848" w14:paraId="6A3A1EE6" w14:textId="77777777" w:rsidTr="00EB2848">
        <w:tc>
          <w:tcPr>
            <w:tcW w:w="2828" w:type="dxa"/>
            <w:vMerge/>
            <w:tcBorders>
              <w:left w:val="single" w:sz="4" w:space="0" w:color="auto"/>
              <w:right w:val="single" w:sz="4" w:space="0" w:color="auto"/>
            </w:tcBorders>
          </w:tcPr>
          <w:p w14:paraId="731DE659" w14:textId="77777777" w:rsidR="00CA6F06" w:rsidRPr="00890DEA" w:rsidRDefault="00CA6F06" w:rsidP="00EB2848">
            <w:pPr>
              <w:rPr>
                <w:rFonts w:ascii="Calibri" w:eastAsia="Calibri" w:hAnsi="Calibri" w:cs="Times New Roman"/>
                <w:lang w:val="en-US"/>
              </w:rPr>
            </w:pPr>
          </w:p>
        </w:tc>
        <w:tc>
          <w:tcPr>
            <w:tcW w:w="6335" w:type="dxa"/>
            <w:tcBorders>
              <w:top w:val="single" w:sz="4" w:space="0" w:color="auto"/>
              <w:left w:val="single" w:sz="4" w:space="0" w:color="auto"/>
              <w:bottom w:val="single" w:sz="4" w:space="0" w:color="auto"/>
            </w:tcBorders>
          </w:tcPr>
          <w:p w14:paraId="5D1ADA6B"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Mean arterial pressure [lowest value] (mmol/L)</w:t>
            </w:r>
          </w:p>
        </w:tc>
      </w:tr>
      <w:tr w:rsidR="00CA6F06" w:rsidRPr="00EB2848" w14:paraId="240A6EBC" w14:textId="77777777" w:rsidTr="00EB2848">
        <w:tc>
          <w:tcPr>
            <w:tcW w:w="2828" w:type="dxa"/>
            <w:vMerge/>
            <w:tcBorders>
              <w:left w:val="single" w:sz="4" w:space="0" w:color="auto"/>
              <w:right w:val="single" w:sz="4" w:space="0" w:color="auto"/>
            </w:tcBorders>
          </w:tcPr>
          <w:p w14:paraId="52C04A33" w14:textId="77777777" w:rsidR="00CA6F06" w:rsidRPr="00890DEA" w:rsidRDefault="00CA6F06" w:rsidP="00EB2848">
            <w:pPr>
              <w:rPr>
                <w:rFonts w:ascii="Calibri" w:eastAsia="Calibri" w:hAnsi="Calibri" w:cs="Times New Roman"/>
                <w:lang w:val="en-US"/>
              </w:rPr>
            </w:pPr>
          </w:p>
        </w:tc>
        <w:tc>
          <w:tcPr>
            <w:tcW w:w="6335" w:type="dxa"/>
            <w:tcBorders>
              <w:top w:val="single" w:sz="4" w:space="0" w:color="auto"/>
              <w:left w:val="single" w:sz="4" w:space="0" w:color="auto"/>
            </w:tcBorders>
          </w:tcPr>
          <w:p w14:paraId="35EB6EE7"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Type of vasoactive drugs (dobutamine, dopamine, vasopressin, levosimendan, angiotensin II, noradrenaline, adrenaline, angiotensin II, or other)</w:t>
            </w:r>
          </w:p>
        </w:tc>
      </w:tr>
      <w:tr w:rsidR="00CA6F06" w:rsidRPr="00EB2848" w14:paraId="69E70306" w14:textId="77777777" w:rsidTr="00EB2848">
        <w:tc>
          <w:tcPr>
            <w:tcW w:w="2828" w:type="dxa"/>
            <w:vMerge/>
            <w:tcBorders>
              <w:left w:val="single" w:sz="4" w:space="0" w:color="auto"/>
              <w:right w:val="single" w:sz="4" w:space="0" w:color="auto"/>
            </w:tcBorders>
          </w:tcPr>
          <w:p w14:paraId="3F46DB78"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1C5E54C6"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Noradrenaline dose [highest dose that day] (</w:t>
            </w:r>
            <w:r w:rsidRPr="00A87470">
              <w:rPr>
                <w:rFonts w:ascii="Calibri" w:eastAsia="Calibri" w:hAnsi="Calibri" w:cs="Calibri"/>
              </w:rPr>
              <w:t>μ</w:t>
            </w:r>
            <w:r w:rsidRPr="00890DEA">
              <w:rPr>
                <w:rFonts w:ascii="Calibri" w:eastAsia="Calibri" w:hAnsi="Calibri" w:cs="Calibri"/>
                <w:lang w:val="en-US"/>
              </w:rPr>
              <w:t>g/kg/min)</w:t>
            </w:r>
          </w:p>
        </w:tc>
      </w:tr>
      <w:tr w:rsidR="00CA6F06" w:rsidRPr="002D1E29" w14:paraId="61ED525D" w14:textId="77777777" w:rsidTr="00EB2848">
        <w:tc>
          <w:tcPr>
            <w:tcW w:w="2828" w:type="dxa"/>
            <w:vMerge/>
            <w:tcBorders>
              <w:left w:val="single" w:sz="4" w:space="0" w:color="auto"/>
              <w:right w:val="single" w:sz="4" w:space="0" w:color="auto"/>
            </w:tcBorders>
          </w:tcPr>
          <w:p w14:paraId="5E6BE7E0"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6CAB6F63"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 xml:space="preserve">Cardiac arrhythmia </w:t>
            </w:r>
          </w:p>
          <w:p w14:paraId="07DD2234"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Atrial fibrillation/flutter (Y/N)</w:t>
            </w:r>
          </w:p>
          <w:p w14:paraId="4975D478" w14:textId="77777777" w:rsidR="00CA6F06"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Ventricular tachycardia (Y/N)</w:t>
            </w:r>
          </w:p>
          <w:p w14:paraId="4864E68C"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Ventricular fibrillation(Y/N)</w:t>
            </w:r>
          </w:p>
        </w:tc>
      </w:tr>
      <w:tr w:rsidR="00CA6F06" w:rsidRPr="002D1E29" w14:paraId="2378B4E5" w14:textId="77777777" w:rsidTr="00EB2848">
        <w:tc>
          <w:tcPr>
            <w:tcW w:w="2828" w:type="dxa"/>
            <w:vMerge/>
            <w:tcBorders>
              <w:left w:val="single" w:sz="4" w:space="0" w:color="auto"/>
              <w:right w:val="single" w:sz="4" w:space="0" w:color="auto"/>
            </w:tcBorders>
          </w:tcPr>
          <w:p w14:paraId="687D9AE4"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35AC0641" w14:textId="77777777" w:rsidR="00CA6F06" w:rsidRPr="00A87470" w:rsidRDefault="00CA6F06" w:rsidP="00EB2848">
            <w:pPr>
              <w:rPr>
                <w:rFonts w:ascii="Calibri" w:eastAsia="Calibri" w:hAnsi="Calibri" w:cs="Times New Roman"/>
              </w:rPr>
            </w:pPr>
          </w:p>
        </w:tc>
      </w:tr>
      <w:tr w:rsidR="00CA6F06" w:rsidRPr="002D1E29" w14:paraId="4CBA710F" w14:textId="77777777" w:rsidTr="00EB2848">
        <w:tc>
          <w:tcPr>
            <w:tcW w:w="2828" w:type="dxa"/>
            <w:vMerge/>
            <w:tcBorders>
              <w:left w:val="single" w:sz="4" w:space="0" w:color="auto"/>
              <w:right w:val="single" w:sz="4" w:space="0" w:color="auto"/>
            </w:tcBorders>
          </w:tcPr>
          <w:p w14:paraId="68C08164"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3C30CF1E"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Ischemic events (Y/N), if yes; specify:</w:t>
            </w:r>
          </w:p>
          <w:p w14:paraId="37867A0E"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Limb</w:t>
            </w:r>
          </w:p>
          <w:p w14:paraId="3D0541DA"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Cerebral</w:t>
            </w:r>
          </w:p>
          <w:p w14:paraId="0DBC2F13"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Heart</w:t>
            </w:r>
          </w:p>
          <w:p w14:paraId="0766AE71"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Intestine</w:t>
            </w:r>
          </w:p>
          <w:p w14:paraId="093EE3EB"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(Definitions described above)</w:t>
            </w:r>
          </w:p>
        </w:tc>
      </w:tr>
      <w:tr w:rsidR="00CA6F06" w:rsidRPr="00CB4E8F" w14:paraId="61A14600" w14:textId="77777777" w:rsidTr="00EB2848">
        <w:tc>
          <w:tcPr>
            <w:tcW w:w="2828" w:type="dxa"/>
            <w:vMerge/>
            <w:tcBorders>
              <w:left w:val="single" w:sz="4" w:space="0" w:color="auto"/>
              <w:right w:val="single" w:sz="4" w:space="0" w:color="auto"/>
            </w:tcBorders>
          </w:tcPr>
          <w:p w14:paraId="27901941"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5E258D0E"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Mechanical ventilation (Y/N)</w:t>
            </w:r>
          </w:p>
        </w:tc>
      </w:tr>
      <w:tr w:rsidR="00CA6F06" w:rsidRPr="00CB4E8F" w14:paraId="74B845CB" w14:textId="77777777" w:rsidTr="00EB2848">
        <w:tc>
          <w:tcPr>
            <w:tcW w:w="2828" w:type="dxa"/>
            <w:vMerge/>
            <w:tcBorders>
              <w:left w:val="single" w:sz="4" w:space="0" w:color="auto"/>
              <w:right w:val="single" w:sz="4" w:space="0" w:color="auto"/>
            </w:tcBorders>
          </w:tcPr>
          <w:p w14:paraId="030747C5"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4958F4E8" w14:textId="77777777" w:rsidR="00CA6F06" w:rsidRPr="00A87470" w:rsidRDefault="00CA6F06" w:rsidP="00EB2848">
            <w:pPr>
              <w:rPr>
                <w:rFonts w:ascii="Calibri" w:eastAsia="Calibri" w:hAnsi="Calibri" w:cs="Times New Roman"/>
              </w:rPr>
            </w:pPr>
            <w:r>
              <w:rPr>
                <w:rFonts w:ascii="Calibri" w:eastAsia="Calibri" w:hAnsi="Calibri" w:cs="Times New Roman"/>
              </w:rPr>
              <w:t>Lowest PaO2 (kPa)</w:t>
            </w:r>
          </w:p>
        </w:tc>
      </w:tr>
      <w:tr w:rsidR="00CA6F06" w:rsidRPr="00EB2848" w14:paraId="650DD450" w14:textId="77777777" w:rsidTr="00EB2848">
        <w:tc>
          <w:tcPr>
            <w:tcW w:w="2828" w:type="dxa"/>
            <w:vMerge/>
            <w:tcBorders>
              <w:left w:val="single" w:sz="4" w:space="0" w:color="auto"/>
              <w:right w:val="single" w:sz="4" w:space="0" w:color="auto"/>
            </w:tcBorders>
          </w:tcPr>
          <w:p w14:paraId="5C5A6199"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125F174E"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FiO2 (at time of lowest PaO2; %)</w:t>
            </w:r>
          </w:p>
        </w:tc>
      </w:tr>
      <w:tr w:rsidR="00CA6F06" w:rsidRPr="00CB4E8F" w14:paraId="44825FDB" w14:textId="77777777" w:rsidTr="00EB2848">
        <w:tc>
          <w:tcPr>
            <w:tcW w:w="2828" w:type="dxa"/>
            <w:vMerge/>
            <w:tcBorders>
              <w:left w:val="single" w:sz="4" w:space="0" w:color="auto"/>
              <w:right w:val="single" w:sz="4" w:space="0" w:color="auto"/>
            </w:tcBorders>
          </w:tcPr>
          <w:p w14:paraId="5E96FE1E"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619FA4CE"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Haemoglobin</w:t>
            </w:r>
            <w:r>
              <w:rPr>
                <w:rFonts w:ascii="Calibri" w:eastAsia="Calibri" w:hAnsi="Calibri" w:cs="Times New Roman"/>
              </w:rPr>
              <w:t xml:space="preserve"> </w:t>
            </w:r>
            <w:r w:rsidRPr="00A87470">
              <w:rPr>
                <w:rFonts w:ascii="Calibri" w:eastAsia="Calibri" w:hAnsi="Calibri" w:cs="Times New Roman"/>
              </w:rPr>
              <w:t>[</w:t>
            </w:r>
            <w:r>
              <w:rPr>
                <w:rFonts w:ascii="Calibri" w:eastAsia="Calibri" w:hAnsi="Calibri" w:cs="Times New Roman"/>
              </w:rPr>
              <w:t>earliest</w:t>
            </w:r>
            <w:r w:rsidRPr="00A87470">
              <w:rPr>
                <w:rFonts w:ascii="Calibri" w:eastAsia="Calibri" w:hAnsi="Calibri" w:cs="Times New Roman"/>
              </w:rPr>
              <w:t>]  (g/L)</w:t>
            </w:r>
          </w:p>
        </w:tc>
      </w:tr>
      <w:tr w:rsidR="00CA6F06" w:rsidRPr="002D1E29" w14:paraId="138716E4" w14:textId="77777777" w:rsidTr="00EB2848">
        <w:tc>
          <w:tcPr>
            <w:tcW w:w="2828" w:type="dxa"/>
            <w:vMerge/>
            <w:tcBorders>
              <w:left w:val="single" w:sz="4" w:space="0" w:color="auto"/>
              <w:right w:val="single" w:sz="4" w:space="0" w:color="auto"/>
            </w:tcBorders>
          </w:tcPr>
          <w:p w14:paraId="58A43969"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2F3B5DB8"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Potassium</w:t>
            </w:r>
            <w:r>
              <w:rPr>
                <w:rFonts w:ascii="Calibri" w:eastAsia="Calibri" w:hAnsi="Calibri" w:cs="Times New Roman"/>
              </w:rPr>
              <w:t xml:space="preserve"> </w:t>
            </w:r>
            <w:r w:rsidRPr="00A87470">
              <w:rPr>
                <w:rFonts w:ascii="Calibri" w:eastAsia="Calibri" w:hAnsi="Calibri" w:cs="Times New Roman"/>
              </w:rPr>
              <w:t>[</w:t>
            </w:r>
            <w:r>
              <w:rPr>
                <w:rFonts w:ascii="Calibri" w:eastAsia="Calibri" w:hAnsi="Calibri" w:cs="Times New Roman"/>
              </w:rPr>
              <w:t>earliest</w:t>
            </w:r>
            <w:r w:rsidRPr="00A87470">
              <w:rPr>
                <w:rFonts w:ascii="Calibri" w:eastAsia="Calibri" w:hAnsi="Calibri" w:cs="Times New Roman"/>
              </w:rPr>
              <w:t>] (mmol/L)</w:t>
            </w:r>
          </w:p>
        </w:tc>
      </w:tr>
      <w:tr w:rsidR="00CA6F06" w:rsidRPr="002D1E29" w14:paraId="017A3CAF" w14:textId="77777777" w:rsidTr="00EB2848">
        <w:tc>
          <w:tcPr>
            <w:tcW w:w="2828" w:type="dxa"/>
            <w:vMerge/>
            <w:tcBorders>
              <w:left w:val="single" w:sz="4" w:space="0" w:color="auto"/>
              <w:right w:val="single" w:sz="4" w:space="0" w:color="auto"/>
            </w:tcBorders>
          </w:tcPr>
          <w:p w14:paraId="4085E166"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6B24E536"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Sodium</w:t>
            </w:r>
            <w:r>
              <w:rPr>
                <w:rFonts w:ascii="Calibri" w:eastAsia="Calibri" w:hAnsi="Calibri" w:cs="Times New Roman"/>
              </w:rPr>
              <w:t xml:space="preserve"> </w:t>
            </w:r>
            <w:r w:rsidRPr="00A87470">
              <w:rPr>
                <w:rFonts w:ascii="Calibri" w:eastAsia="Calibri" w:hAnsi="Calibri" w:cs="Times New Roman"/>
              </w:rPr>
              <w:t>[</w:t>
            </w:r>
            <w:r>
              <w:rPr>
                <w:rFonts w:ascii="Calibri" w:eastAsia="Calibri" w:hAnsi="Calibri" w:cs="Times New Roman"/>
              </w:rPr>
              <w:t>earliest</w:t>
            </w:r>
            <w:r w:rsidRPr="00A87470">
              <w:rPr>
                <w:rFonts w:ascii="Calibri" w:eastAsia="Calibri" w:hAnsi="Calibri" w:cs="Times New Roman"/>
              </w:rPr>
              <w:t>] (mmol/L)</w:t>
            </w:r>
          </w:p>
        </w:tc>
      </w:tr>
      <w:tr w:rsidR="00CA6F06" w:rsidRPr="002D1E29" w14:paraId="1B866C36" w14:textId="77777777" w:rsidTr="00EB2848">
        <w:tc>
          <w:tcPr>
            <w:tcW w:w="2828" w:type="dxa"/>
            <w:vMerge/>
            <w:tcBorders>
              <w:left w:val="single" w:sz="4" w:space="0" w:color="auto"/>
              <w:right w:val="single" w:sz="4" w:space="0" w:color="auto"/>
            </w:tcBorders>
          </w:tcPr>
          <w:p w14:paraId="4976C6FD"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6CBCA157"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Chloride [</w:t>
            </w:r>
            <w:r>
              <w:rPr>
                <w:rFonts w:ascii="Calibri" w:eastAsia="Calibri" w:hAnsi="Calibri" w:cs="Times New Roman"/>
              </w:rPr>
              <w:t>earliest</w:t>
            </w:r>
            <w:r w:rsidRPr="00A87470">
              <w:rPr>
                <w:rFonts w:ascii="Calibri" w:eastAsia="Calibri" w:hAnsi="Calibri" w:cs="Times New Roman"/>
              </w:rPr>
              <w:t>] (mmol/L)</w:t>
            </w:r>
          </w:p>
        </w:tc>
      </w:tr>
      <w:tr w:rsidR="00CA6F06" w:rsidRPr="002D1E29" w14:paraId="36E95DA9" w14:textId="77777777" w:rsidTr="00EB2848">
        <w:tc>
          <w:tcPr>
            <w:tcW w:w="2828" w:type="dxa"/>
            <w:vMerge/>
            <w:tcBorders>
              <w:left w:val="single" w:sz="4" w:space="0" w:color="auto"/>
              <w:right w:val="single" w:sz="4" w:space="0" w:color="auto"/>
            </w:tcBorders>
          </w:tcPr>
          <w:p w14:paraId="0EF212C9"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77C76136" w14:textId="77777777" w:rsidR="00CA6F06" w:rsidRPr="00A87470" w:rsidRDefault="00CA6F06" w:rsidP="00EB2848">
            <w:pPr>
              <w:contextualSpacing/>
              <w:rPr>
                <w:rFonts w:ascii="Calibri" w:eastAsia="Calibri" w:hAnsi="Calibri" w:cs="Times New Roman"/>
              </w:rPr>
            </w:pPr>
            <w:r w:rsidRPr="00A87470">
              <w:rPr>
                <w:rFonts w:ascii="Calibri" w:eastAsia="Calibri" w:hAnsi="Calibri" w:cs="Times New Roman"/>
              </w:rPr>
              <w:t>Lactate [highest] (mmol/L)</w:t>
            </w:r>
          </w:p>
        </w:tc>
      </w:tr>
      <w:tr w:rsidR="00CA6F06" w:rsidRPr="00EB2848" w14:paraId="67895584" w14:textId="77777777" w:rsidTr="00EB2848">
        <w:tc>
          <w:tcPr>
            <w:tcW w:w="2828" w:type="dxa"/>
            <w:vMerge/>
            <w:tcBorders>
              <w:left w:val="single" w:sz="4" w:space="0" w:color="auto"/>
              <w:right w:val="single" w:sz="4" w:space="0" w:color="auto"/>
            </w:tcBorders>
          </w:tcPr>
          <w:p w14:paraId="31BAFEC7"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6DCCDEB9"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Blood glucose [earliest] (mmol/L)</w:t>
            </w:r>
          </w:p>
        </w:tc>
      </w:tr>
      <w:tr w:rsidR="00CA6F06" w:rsidRPr="00045297" w14:paraId="78DE2FC6" w14:textId="77777777" w:rsidTr="00EB2848">
        <w:tc>
          <w:tcPr>
            <w:tcW w:w="2828" w:type="dxa"/>
            <w:vMerge/>
            <w:tcBorders>
              <w:left w:val="single" w:sz="4" w:space="0" w:color="auto"/>
              <w:right w:val="single" w:sz="4" w:space="0" w:color="auto"/>
            </w:tcBorders>
          </w:tcPr>
          <w:p w14:paraId="1AA2A1F7"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6C2C419E"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Insulin dose (E/day)</w:t>
            </w:r>
          </w:p>
        </w:tc>
      </w:tr>
      <w:tr w:rsidR="00CA6F06" w:rsidRPr="002D1E29" w14:paraId="5D7FE2C0" w14:textId="77777777" w:rsidTr="00EB2848">
        <w:tc>
          <w:tcPr>
            <w:tcW w:w="2828" w:type="dxa"/>
            <w:vMerge/>
            <w:tcBorders>
              <w:left w:val="single" w:sz="4" w:space="0" w:color="auto"/>
              <w:bottom w:val="single" w:sz="4" w:space="0" w:color="auto"/>
              <w:right w:val="single" w:sz="4" w:space="0" w:color="auto"/>
            </w:tcBorders>
          </w:tcPr>
          <w:p w14:paraId="7EDBB5FD"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4DE19CE0"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Complications</w:t>
            </w:r>
          </w:p>
          <w:p w14:paraId="634C21DA"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Hypoglycemia [</w:t>
            </w:r>
            <w:r w:rsidRPr="00890DEA">
              <w:rPr>
                <w:rFonts w:ascii="Calibri" w:eastAsia="Calibri" w:hAnsi="Calibri" w:cs="Times New Roman"/>
                <w:u w:val="single"/>
                <w:lang w:val="en-US"/>
              </w:rPr>
              <w:t>&lt;</w:t>
            </w:r>
            <w:r w:rsidRPr="00890DEA">
              <w:rPr>
                <w:rFonts w:ascii="Calibri" w:eastAsia="Calibri" w:hAnsi="Calibri" w:cs="Times New Roman"/>
                <w:lang w:val="en-US"/>
              </w:rPr>
              <w:t xml:space="preserve"> 3.9 mmol/L] (Y/N)</w:t>
            </w:r>
          </w:p>
          <w:p w14:paraId="7ABB9849"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Hypernatriemia [&gt;159 mmol/L] (Y/N)</w:t>
            </w:r>
          </w:p>
          <w:p w14:paraId="09CE1E89"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Hyperchloremic acidosis [pH&lt;7.15 and plasma-chloride &gt;115 mmol/L] (Y/N)</w:t>
            </w:r>
          </w:p>
          <w:p w14:paraId="4376248B"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Metabolic alkalosis [pH&gt;7.59 and base excess &gt;9] (Y/N)</w:t>
            </w:r>
          </w:p>
          <w:p w14:paraId="2664B9DF" w14:textId="77777777" w:rsidR="00CA6F06" w:rsidRDefault="00CA6F06" w:rsidP="00CA6F06">
            <w:pPr>
              <w:numPr>
                <w:ilvl w:val="0"/>
                <w:numId w:val="7"/>
              </w:numPr>
              <w:spacing w:line="240" w:lineRule="auto"/>
              <w:contextualSpacing/>
              <w:rPr>
                <w:rFonts w:ascii="Calibri" w:eastAsia="Calibri" w:hAnsi="Calibri" w:cs="Times New Roman"/>
              </w:rPr>
            </w:pPr>
            <w:r>
              <w:rPr>
                <w:rFonts w:ascii="Calibri" w:eastAsia="Calibri" w:hAnsi="Calibri" w:cs="Times New Roman"/>
              </w:rPr>
              <w:t>Suspected unexpected complications (SUSAC)</w:t>
            </w:r>
          </w:p>
          <w:p w14:paraId="013B5D88" w14:textId="77777777" w:rsidR="00CA6F06" w:rsidRPr="00A87470" w:rsidRDefault="00CA6F06" w:rsidP="00CA6F06">
            <w:pPr>
              <w:numPr>
                <w:ilvl w:val="0"/>
                <w:numId w:val="7"/>
              </w:numPr>
              <w:spacing w:line="240" w:lineRule="auto"/>
              <w:contextualSpacing/>
              <w:rPr>
                <w:rFonts w:ascii="Calibri" w:eastAsia="Calibri" w:hAnsi="Calibri" w:cs="Times New Roman"/>
              </w:rPr>
            </w:pPr>
            <w:r>
              <w:rPr>
                <w:rFonts w:ascii="Calibri" w:eastAsia="Calibri" w:hAnsi="Calibri" w:cs="Times New Roman"/>
              </w:rPr>
              <w:t>none</w:t>
            </w:r>
          </w:p>
        </w:tc>
      </w:tr>
      <w:tr w:rsidR="00CA6F06" w:rsidRPr="00EB2848" w14:paraId="5FDD432C" w14:textId="77777777" w:rsidTr="00EB2848">
        <w:tc>
          <w:tcPr>
            <w:tcW w:w="2828" w:type="dxa"/>
            <w:vMerge w:val="restart"/>
            <w:tcBorders>
              <w:top w:val="single" w:sz="4" w:space="0" w:color="auto"/>
              <w:left w:val="single" w:sz="4" w:space="0" w:color="auto"/>
              <w:right w:val="single" w:sz="4" w:space="0" w:color="auto"/>
            </w:tcBorders>
          </w:tcPr>
          <w:p w14:paraId="0E2AD05F" w14:textId="77777777" w:rsidR="00CA6F06" w:rsidRPr="00A87470" w:rsidRDefault="00CA6F06" w:rsidP="00EB2848">
            <w:pPr>
              <w:rPr>
                <w:rFonts w:ascii="Calibri" w:eastAsia="Calibri" w:hAnsi="Calibri" w:cs="Times New Roman"/>
                <w:b/>
                <w:bCs/>
              </w:rPr>
            </w:pPr>
            <w:r w:rsidRPr="00A87470">
              <w:rPr>
                <w:rFonts w:ascii="Calibri" w:eastAsia="Calibri" w:hAnsi="Calibri" w:cs="Times New Roman"/>
                <w:b/>
                <w:bCs/>
              </w:rPr>
              <w:t>Variables at discharge</w:t>
            </w:r>
          </w:p>
        </w:tc>
        <w:tc>
          <w:tcPr>
            <w:tcW w:w="6335" w:type="dxa"/>
            <w:tcBorders>
              <w:left w:val="single" w:sz="4" w:space="0" w:color="auto"/>
            </w:tcBorders>
          </w:tcPr>
          <w:p w14:paraId="1B888BAE"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ICU discharge</w:t>
            </w:r>
          </w:p>
          <w:p w14:paraId="60634A68"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Date and time of ICU discharge (dd-mmm-yyyy, hh:mm)</w:t>
            </w:r>
          </w:p>
          <w:p w14:paraId="5C2A5A76" w14:textId="77777777" w:rsidR="00CA6F06" w:rsidRPr="00890DEA" w:rsidRDefault="00CA6F06" w:rsidP="00CA6F06">
            <w:pPr>
              <w:numPr>
                <w:ilvl w:val="0"/>
                <w:numId w:val="7"/>
              </w:numPr>
              <w:spacing w:line="240" w:lineRule="auto"/>
              <w:contextualSpacing/>
              <w:rPr>
                <w:rFonts w:ascii="Calibri" w:eastAsia="Calibri" w:hAnsi="Calibri" w:cs="Times New Roman"/>
                <w:strike/>
                <w:lang w:val="en-US"/>
              </w:rPr>
            </w:pPr>
            <w:r w:rsidRPr="00890DEA">
              <w:rPr>
                <w:rFonts w:ascii="Calibri" w:eastAsia="Calibri" w:hAnsi="Calibri" w:cs="Times New Roman"/>
                <w:lang w:val="en-US"/>
              </w:rPr>
              <w:t>Status at ICU discharge (alive/deceased)</w:t>
            </w:r>
          </w:p>
        </w:tc>
      </w:tr>
      <w:tr w:rsidR="00CA6F06" w:rsidRPr="00EB2848" w14:paraId="78EB7DC4" w14:textId="77777777" w:rsidTr="00EB2848">
        <w:tc>
          <w:tcPr>
            <w:tcW w:w="2828" w:type="dxa"/>
            <w:vMerge/>
            <w:tcBorders>
              <w:left w:val="single" w:sz="4" w:space="0" w:color="auto"/>
              <w:right w:val="single" w:sz="4" w:space="0" w:color="auto"/>
            </w:tcBorders>
          </w:tcPr>
          <w:p w14:paraId="4666D4D0"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71FF03A1"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ICU readmission</w:t>
            </w:r>
          </w:p>
          <w:p w14:paraId="5F3B300C"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Readmission (Y/N)</w:t>
            </w:r>
          </w:p>
          <w:p w14:paraId="7CAF203C"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Readmission date and time (dd-mmm-yyyy, hh:mm)</w:t>
            </w:r>
          </w:p>
          <w:p w14:paraId="6574A2DE"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ICU discharge date and time (dd-mmm-yyyy, hh:mm)</w:t>
            </w:r>
          </w:p>
          <w:p w14:paraId="46990F44"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Status at ICU discharge (alive/deceased)</w:t>
            </w:r>
          </w:p>
        </w:tc>
      </w:tr>
      <w:tr w:rsidR="00CA6F06" w:rsidRPr="002D1E29" w14:paraId="6C24055B" w14:textId="77777777" w:rsidTr="00EB2848">
        <w:trPr>
          <w:trHeight w:val="34"/>
        </w:trPr>
        <w:tc>
          <w:tcPr>
            <w:tcW w:w="2828" w:type="dxa"/>
            <w:vMerge/>
            <w:tcBorders>
              <w:left w:val="single" w:sz="4" w:space="0" w:color="auto"/>
              <w:right w:val="single" w:sz="4" w:space="0" w:color="auto"/>
            </w:tcBorders>
          </w:tcPr>
          <w:p w14:paraId="7D44AEC7"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4EF1FBC2"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Hospital discharge</w:t>
            </w:r>
          </w:p>
          <w:p w14:paraId="345417DF"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Date and time of hospital discharge (dd-mmm-yyyy, hh:mm)</w:t>
            </w:r>
          </w:p>
          <w:p w14:paraId="19248A0D"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Status at hospital discharge (alive/deceased)</w:t>
            </w:r>
          </w:p>
          <w:p w14:paraId="29D0C581"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 xml:space="preserve">Patient discharged to </w:t>
            </w:r>
          </w:p>
          <w:p w14:paraId="4935A2DB" w14:textId="77777777" w:rsidR="00CA6F06" w:rsidRPr="00A87470" w:rsidRDefault="00CA6F06" w:rsidP="00CA6F06">
            <w:pPr>
              <w:numPr>
                <w:ilvl w:val="0"/>
                <w:numId w:val="14"/>
              </w:numPr>
              <w:spacing w:line="240" w:lineRule="auto"/>
              <w:contextualSpacing/>
              <w:rPr>
                <w:rFonts w:ascii="Calibri" w:eastAsia="Calibri" w:hAnsi="Calibri" w:cs="Times New Roman"/>
              </w:rPr>
            </w:pPr>
            <w:r w:rsidRPr="00A87470">
              <w:rPr>
                <w:rFonts w:ascii="Calibri" w:eastAsia="Calibri" w:hAnsi="Calibri" w:cs="Times New Roman"/>
              </w:rPr>
              <w:t>Home</w:t>
            </w:r>
          </w:p>
          <w:p w14:paraId="29B57FDB" w14:textId="77777777" w:rsidR="00CA6F06" w:rsidRPr="00A87470" w:rsidRDefault="00CA6F06" w:rsidP="00CA6F06">
            <w:pPr>
              <w:numPr>
                <w:ilvl w:val="0"/>
                <w:numId w:val="14"/>
              </w:numPr>
              <w:spacing w:line="240" w:lineRule="auto"/>
              <w:contextualSpacing/>
              <w:rPr>
                <w:rFonts w:ascii="Calibri" w:eastAsia="Calibri" w:hAnsi="Calibri" w:cs="Times New Roman"/>
              </w:rPr>
            </w:pPr>
            <w:r w:rsidRPr="00A87470">
              <w:rPr>
                <w:rFonts w:ascii="Calibri" w:eastAsia="Calibri" w:hAnsi="Calibri" w:cs="Times New Roman"/>
              </w:rPr>
              <w:t>Rehabilitation facility</w:t>
            </w:r>
          </w:p>
          <w:p w14:paraId="32F6B54C" w14:textId="77777777" w:rsidR="00CA6F06" w:rsidRPr="00A87470" w:rsidRDefault="00CA6F06" w:rsidP="00CA6F06">
            <w:pPr>
              <w:numPr>
                <w:ilvl w:val="0"/>
                <w:numId w:val="14"/>
              </w:numPr>
              <w:spacing w:line="240" w:lineRule="auto"/>
              <w:contextualSpacing/>
              <w:rPr>
                <w:rFonts w:ascii="Calibri" w:eastAsia="Calibri" w:hAnsi="Calibri" w:cs="Times New Roman"/>
              </w:rPr>
            </w:pPr>
            <w:r w:rsidRPr="00A87470">
              <w:rPr>
                <w:rFonts w:ascii="Calibri" w:eastAsia="Calibri" w:hAnsi="Calibri" w:cs="Times New Roman"/>
              </w:rPr>
              <w:t>Nursing home</w:t>
            </w:r>
          </w:p>
          <w:p w14:paraId="3D95FC0D" w14:textId="77777777" w:rsidR="00CA6F06" w:rsidRPr="00A87470" w:rsidRDefault="00CA6F06" w:rsidP="00CA6F06">
            <w:pPr>
              <w:numPr>
                <w:ilvl w:val="0"/>
                <w:numId w:val="14"/>
              </w:numPr>
              <w:spacing w:line="240" w:lineRule="auto"/>
              <w:contextualSpacing/>
              <w:rPr>
                <w:rFonts w:ascii="Calibri" w:eastAsia="Calibri" w:hAnsi="Calibri" w:cs="Times New Roman"/>
              </w:rPr>
            </w:pPr>
            <w:r w:rsidRPr="00A87470">
              <w:rPr>
                <w:rFonts w:ascii="Calibri" w:eastAsia="Calibri" w:hAnsi="Calibri" w:cs="Times New Roman"/>
              </w:rPr>
              <w:t>Other hospital (ward)</w:t>
            </w:r>
          </w:p>
          <w:p w14:paraId="3DF35797" w14:textId="77777777" w:rsidR="00CA6F06" w:rsidRDefault="00CA6F06" w:rsidP="00CA6F06">
            <w:pPr>
              <w:numPr>
                <w:ilvl w:val="0"/>
                <w:numId w:val="14"/>
              </w:numPr>
              <w:spacing w:line="240" w:lineRule="auto"/>
              <w:contextualSpacing/>
              <w:rPr>
                <w:rFonts w:ascii="Calibri" w:eastAsia="Calibri" w:hAnsi="Calibri" w:cs="Times New Roman"/>
              </w:rPr>
            </w:pPr>
            <w:r w:rsidRPr="00A87470">
              <w:rPr>
                <w:rFonts w:ascii="Calibri" w:eastAsia="Calibri" w:hAnsi="Calibri" w:cs="Times New Roman"/>
              </w:rPr>
              <w:t>Other ICU</w:t>
            </w:r>
          </w:p>
          <w:p w14:paraId="3B73FFAB" w14:textId="77777777" w:rsidR="00CA6F06" w:rsidRPr="00A87470" w:rsidRDefault="00CA6F06" w:rsidP="00CA6F06">
            <w:pPr>
              <w:numPr>
                <w:ilvl w:val="0"/>
                <w:numId w:val="14"/>
              </w:numPr>
              <w:spacing w:line="240" w:lineRule="auto"/>
              <w:contextualSpacing/>
              <w:rPr>
                <w:rFonts w:ascii="Calibri" w:eastAsia="Calibri" w:hAnsi="Calibri" w:cs="Times New Roman"/>
              </w:rPr>
            </w:pPr>
            <w:r>
              <w:rPr>
                <w:rFonts w:ascii="Calibri" w:eastAsia="Calibri" w:hAnsi="Calibri" w:cs="Times New Roman"/>
              </w:rPr>
              <w:t>Other</w:t>
            </w:r>
          </w:p>
        </w:tc>
      </w:tr>
      <w:tr w:rsidR="00CA6F06" w:rsidRPr="00EB2848" w14:paraId="183B435E" w14:textId="77777777" w:rsidTr="00EB2848">
        <w:tc>
          <w:tcPr>
            <w:tcW w:w="2828" w:type="dxa"/>
            <w:vMerge/>
            <w:tcBorders>
              <w:left w:val="single" w:sz="4" w:space="0" w:color="auto"/>
              <w:right w:val="single" w:sz="4" w:space="0" w:color="auto"/>
            </w:tcBorders>
          </w:tcPr>
          <w:p w14:paraId="3CEE63C7" w14:textId="77777777" w:rsidR="00CA6F06" w:rsidRPr="00A87470" w:rsidRDefault="00CA6F06" w:rsidP="00EB2848">
            <w:pPr>
              <w:rPr>
                <w:rFonts w:ascii="Calibri" w:eastAsia="Calibri" w:hAnsi="Calibri" w:cs="Times New Roman"/>
              </w:rPr>
            </w:pPr>
          </w:p>
        </w:tc>
        <w:tc>
          <w:tcPr>
            <w:tcW w:w="6335" w:type="dxa"/>
            <w:tcBorders>
              <w:left w:val="single" w:sz="4" w:space="0" w:color="auto"/>
            </w:tcBorders>
          </w:tcPr>
          <w:p w14:paraId="20769C8A"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Withdrawal of life sustaining therapies (WLST) (Y/N), if yes, specify reason:</w:t>
            </w:r>
          </w:p>
          <w:p w14:paraId="01602C69"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Irreversible organ failure (Y/N)</w:t>
            </w:r>
          </w:p>
          <w:p w14:paraId="61945630" w14:textId="77777777" w:rsidR="00CA6F06" w:rsidRPr="00A87470" w:rsidRDefault="00CA6F06" w:rsidP="00CA6F06">
            <w:pPr>
              <w:numPr>
                <w:ilvl w:val="0"/>
                <w:numId w:val="15"/>
              </w:numPr>
              <w:spacing w:line="240" w:lineRule="auto"/>
              <w:contextualSpacing/>
              <w:rPr>
                <w:rFonts w:ascii="Calibri" w:eastAsia="Calibri" w:hAnsi="Calibri" w:cs="Times New Roman"/>
              </w:rPr>
            </w:pPr>
            <w:r w:rsidRPr="00A87470">
              <w:rPr>
                <w:rFonts w:ascii="Calibri" w:eastAsia="Calibri" w:hAnsi="Calibri" w:cs="Times New Roman"/>
              </w:rPr>
              <w:t xml:space="preserve">Cardiac </w:t>
            </w:r>
          </w:p>
          <w:p w14:paraId="12BB696D" w14:textId="77777777" w:rsidR="00CA6F06" w:rsidRPr="00A87470" w:rsidRDefault="00CA6F06" w:rsidP="00CA6F06">
            <w:pPr>
              <w:numPr>
                <w:ilvl w:val="0"/>
                <w:numId w:val="15"/>
              </w:numPr>
              <w:spacing w:line="240" w:lineRule="auto"/>
              <w:contextualSpacing/>
              <w:rPr>
                <w:rFonts w:ascii="Calibri" w:eastAsia="Calibri" w:hAnsi="Calibri" w:cs="Times New Roman"/>
              </w:rPr>
            </w:pPr>
            <w:r w:rsidRPr="00A87470">
              <w:rPr>
                <w:rFonts w:ascii="Calibri" w:eastAsia="Calibri" w:hAnsi="Calibri" w:cs="Times New Roman"/>
              </w:rPr>
              <w:t>Lung</w:t>
            </w:r>
          </w:p>
          <w:p w14:paraId="3AC82E73" w14:textId="77777777" w:rsidR="00CA6F06" w:rsidRPr="00A87470" w:rsidRDefault="00CA6F06" w:rsidP="00CA6F06">
            <w:pPr>
              <w:numPr>
                <w:ilvl w:val="0"/>
                <w:numId w:val="15"/>
              </w:numPr>
              <w:spacing w:line="240" w:lineRule="auto"/>
              <w:contextualSpacing/>
              <w:rPr>
                <w:rFonts w:ascii="Calibri" w:eastAsia="Calibri" w:hAnsi="Calibri" w:cs="Times New Roman"/>
              </w:rPr>
            </w:pPr>
            <w:r w:rsidRPr="00A87470">
              <w:rPr>
                <w:rFonts w:ascii="Calibri" w:eastAsia="Calibri" w:hAnsi="Calibri" w:cs="Times New Roman"/>
              </w:rPr>
              <w:t>Liver</w:t>
            </w:r>
          </w:p>
          <w:p w14:paraId="2CAABFEE" w14:textId="77777777" w:rsidR="00CA6F06" w:rsidRPr="00A87470" w:rsidRDefault="00CA6F06" w:rsidP="00CA6F06">
            <w:pPr>
              <w:numPr>
                <w:ilvl w:val="0"/>
                <w:numId w:val="15"/>
              </w:numPr>
              <w:spacing w:line="240" w:lineRule="auto"/>
              <w:contextualSpacing/>
              <w:rPr>
                <w:rFonts w:ascii="Calibri" w:eastAsia="Calibri" w:hAnsi="Calibri" w:cs="Times New Roman"/>
              </w:rPr>
            </w:pPr>
            <w:r w:rsidRPr="00A87470">
              <w:rPr>
                <w:rFonts w:ascii="Calibri" w:eastAsia="Calibri" w:hAnsi="Calibri" w:cs="Times New Roman"/>
              </w:rPr>
              <w:t>Kidney</w:t>
            </w:r>
          </w:p>
          <w:p w14:paraId="2D91D23F" w14:textId="77777777" w:rsidR="00CA6F06" w:rsidRPr="00A87470" w:rsidRDefault="00CA6F06" w:rsidP="00CA6F06">
            <w:pPr>
              <w:numPr>
                <w:ilvl w:val="0"/>
                <w:numId w:val="15"/>
              </w:numPr>
              <w:spacing w:line="240" w:lineRule="auto"/>
              <w:contextualSpacing/>
              <w:rPr>
                <w:rFonts w:ascii="Calibri" w:eastAsia="Calibri" w:hAnsi="Calibri" w:cs="Times New Roman"/>
              </w:rPr>
            </w:pPr>
            <w:r w:rsidRPr="00A87470">
              <w:rPr>
                <w:rFonts w:ascii="Calibri" w:eastAsia="Calibri" w:hAnsi="Calibri" w:cs="Times New Roman"/>
              </w:rPr>
              <w:t>Coagulation</w:t>
            </w:r>
          </w:p>
          <w:p w14:paraId="4E3B8AFC" w14:textId="77777777" w:rsidR="00CA6F06" w:rsidRDefault="00CA6F06" w:rsidP="00CA6F06">
            <w:pPr>
              <w:numPr>
                <w:ilvl w:val="0"/>
                <w:numId w:val="15"/>
              </w:numPr>
              <w:spacing w:line="240" w:lineRule="auto"/>
              <w:contextualSpacing/>
              <w:rPr>
                <w:rFonts w:ascii="Calibri" w:eastAsia="Calibri" w:hAnsi="Calibri" w:cs="Times New Roman"/>
              </w:rPr>
            </w:pPr>
            <w:r w:rsidRPr="00A87470">
              <w:rPr>
                <w:rFonts w:ascii="Calibri" w:eastAsia="Calibri" w:hAnsi="Calibri" w:cs="Times New Roman"/>
              </w:rPr>
              <w:lastRenderedPageBreak/>
              <w:t>Brain</w:t>
            </w:r>
          </w:p>
          <w:p w14:paraId="5D4FC60E" w14:textId="77777777" w:rsidR="00CA6F06" w:rsidRPr="00A87470" w:rsidRDefault="00CA6F06" w:rsidP="00CA6F06">
            <w:pPr>
              <w:numPr>
                <w:ilvl w:val="0"/>
                <w:numId w:val="15"/>
              </w:numPr>
              <w:spacing w:line="240" w:lineRule="auto"/>
              <w:contextualSpacing/>
              <w:rPr>
                <w:rFonts w:ascii="Calibri" w:eastAsia="Calibri" w:hAnsi="Calibri" w:cs="Times New Roman"/>
              </w:rPr>
            </w:pPr>
            <w:r>
              <w:rPr>
                <w:rFonts w:ascii="Calibri" w:eastAsia="Calibri" w:hAnsi="Calibri" w:cs="Times New Roman"/>
              </w:rPr>
              <w:t>Other</w:t>
            </w:r>
          </w:p>
          <w:p w14:paraId="586DDF20"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Medical comorbidity (Y/N)</w:t>
            </w:r>
          </w:p>
          <w:p w14:paraId="0A15B8E0" w14:textId="77777777" w:rsidR="00CA6F06"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Other (Y/N); specify</w:t>
            </w:r>
          </w:p>
          <w:p w14:paraId="7E623294"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Date and time when WLST decision was made (dd-mmm-yyyy, hh:mm)</w:t>
            </w:r>
          </w:p>
        </w:tc>
      </w:tr>
      <w:tr w:rsidR="00CA6F06" w:rsidRPr="00EB2848" w14:paraId="427D8BAF" w14:textId="77777777" w:rsidTr="00EB2848">
        <w:tc>
          <w:tcPr>
            <w:tcW w:w="2828" w:type="dxa"/>
            <w:vMerge/>
            <w:tcBorders>
              <w:left w:val="single" w:sz="4" w:space="0" w:color="auto"/>
              <w:right w:val="single" w:sz="4" w:space="0" w:color="auto"/>
            </w:tcBorders>
          </w:tcPr>
          <w:p w14:paraId="34941A55"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30C2F6A9"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Date and time of death (dd-mmm-yyyy, hh:mm)</w:t>
            </w:r>
          </w:p>
        </w:tc>
      </w:tr>
      <w:tr w:rsidR="00CA6F06" w:rsidRPr="002D1E29" w14:paraId="08444979" w14:textId="77777777" w:rsidTr="00EB2848">
        <w:tc>
          <w:tcPr>
            <w:tcW w:w="2828" w:type="dxa"/>
            <w:vMerge/>
            <w:tcBorders>
              <w:left w:val="single" w:sz="4" w:space="0" w:color="auto"/>
              <w:right w:val="single" w:sz="4" w:space="0" w:color="auto"/>
            </w:tcBorders>
          </w:tcPr>
          <w:p w14:paraId="65648DB1" w14:textId="77777777" w:rsidR="00CA6F06" w:rsidRPr="00890DEA" w:rsidRDefault="00CA6F06" w:rsidP="00EB2848">
            <w:pPr>
              <w:rPr>
                <w:rFonts w:ascii="Calibri" w:eastAsia="Calibri" w:hAnsi="Calibri" w:cs="Times New Roman"/>
                <w:lang w:val="en-US"/>
              </w:rPr>
            </w:pPr>
          </w:p>
        </w:tc>
        <w:tc>
          <w:tcPr>
            <w:tcW w:w="6335" w:type="dxa"/>
            <w:tcBorders>
              <w:left w:val="single" w:sz="4" w:space="0" w:color="auto"/>
            </w:tcBorders>
          </w:tcPr>
          <w:p w14:paraId="5D9CA653" w14:textId="77777777" w:rsidR="00CA6F06" w:rsidRPr="00A87470" w:rsidRDefault="00CA6F06" w:rsidP="00EB2848">
            <w:pPr>
              <w:rPr>
                <w:rFonts w:ascii="Calibri" w:eastAsia="Calibri" w:hAnsi="Calibri" w:cs="Times New Roman"/>
              </w:rPr>
            </w:pPr>
            <w:r w:rsidRPr="00A87470">
              <w:rPr>
                <w:rFonts w:ascii="Calibri" w:eastAsia="Calibri" w:hAnsi="Calibri" w:cs="Times New Roman"/>
              </w:rPr>
              <w:t>Complications</w:t>
            </w:r>
          </w:p>
          <w:p w14:paraId="5DA5B4FD" w14:textId="77777777" w:rsidR="00CA6F06" w:rsidRPr="00890DEA" w:rsidRDefault="00CA6F06" w:rsidP="00CA6F06">
            <w:pPr>
              <w:numPr>
                <w:ilvl w:val="0"/>
                <w:numId w:val="7"/>
              </w:numPr>
              <w:spacing w:line="240" w:lineRule="auto"/>
              <w:ind w:left="745"/>
              <w:contextualSpacing/>
              <w:rPr>
                <w:rFonts w:ascii="Calibri" w:eastAsia="Calibri" w:hAnsi="Calibri" w:cs="Times New Roman"/>
                <w:lang w:val="en-US"/>
              </w:rPr>
            </w:pPr>
            <w:r w:rsidRPr="00890DEA">
              <w:rPr>
                <w:rFonts w:ascii="Calibri" w:eastAsia="Calibri" w:hAnsi="Calibri" w:cs="Times New Roman"/>
                <w:lang w:val="en-US"/>
              </w:rPr>
              <w:t>Ischemic events (Definitions described above) (Y/N), if yes; specify:</w:t>
            </w:r>
          </w:p>
          <w:p w14:paraId="391D2AE6" w14:textId="77777777" w:rsidR="00CA6F06" w:rsidRPr="00A87470" w:rsidRDefault="00CA6F06" w:rsidP="00CA6F06">
            <w:pPr>
              <w:numPr>
                <w:ilvl w:val="0"/>
                <w:numId w:val="7"/>
              </w:numPr>
              <w:spacing w:line="240" w:lineRule="auto"/>
              <w:ind w:left="1596"/>
              <w:contextualSpacing/>
              <w:rPr>
                <w:rFonts w:ascii="Calibri" w:eastAsia="Calibri" w:hAnsi="Calibri" w:cs="Times New Roman"/>
              </w:rPr>
            </w:pPr>
            <w:r w:rsidRPr="00A87470">
              <w:rPr>
                <w:rFonts w:ascii="Calibri" w:eastAsia="Calibri" w:hAnsi="Calibri" w:cs="Times New Roman"/>
              </w:rPr>
              <w:t>Limb</w:t>
            </w:r>
          </w:p>
          <w:p w14:paraId="2F037CFE" w14:textId="77777777" w:rsidR="00CA6F06" w:rsidRPr="00A87470" w:rsidRDefault="00CA6F06" w:rsidP="00CA6F06">
            <w:pPr>
              <w:numPr>
                <w:ilvl w:val="0"/>
                <w:numId w:val="7"/>
              </w:numPr>
              <w:spacing w:line="240" w:lineRule="auto"/>
              <w:ind w:left="1596"/>
              <w:contextualSpacing/>
              <w:rPr>
                <w:rFonts w:ascii="Calibri" w:eastAsia="Calibri" w:hAnsi="Calibri" w:cs="Times New Roman"/>
              </w:rPr>
            </w:pPr>
            <w:r w:rsidRPr="00A87470">
              <w:rPr>
                <w:rFonts w:ascii="Calibri" w:eastAsia="Calibri" w:hAnsi="Calibri" w:cs="Times New Roman"/>
              </w:rPr>
              <w:t>Cerebral</w:t>
            </w:r>
          </w:p>
          <w:p w14:paraId="33DEE208" w14:textId="77777777" w:rsidR="00CA6F06" w:rsidRPr="00A87470" w:rsidRDefault="00CA6F06" w:rsidP="00CA6F06">
            <w:pPr>
              <w:numPr>
                <w:ilvl w:val="0"/>
                <w:numId w:val="7"/>
              </w:numPr>
              <w:spacing w:line="240" w:lineRule="auto"/>
              <w:ind w:left="1596"/>
              <w:contextualSpacing/>
              <w:rPr>
                <w:rFonts w:ascii="Calibri" w:eastAsia="Calibri" w:hAnsi="Calibri" w:cs="Times New Roman"/>
              </w:rPr>
            </w:pPr>
            <w:r w:rsidRPr="00A87470">
              <w:rPr>
                <w:rFonts w:ascii="Calibri" w:eastAsia="Calibri" w:hAnsi="Calibri" w:cs="Times New Roman"/>
              </w:rPr>
              <w:t>Heart</w:t>
            </w:r>
          </w:p>
          <w:p w14:paraId="08922ADF" w14:textId="77777777" w:rsidR="00CA6F06" w:rsidRPr="00A87470" w:rsidRDefault="00CA6F06" w:rsidP="00CA6F06">
            <w:pPr>
              <w:numPr>
                <w:ilvl w:val="0"/>
                <w:numId w:val="7"/>
              </w:numPr>
              <w:spacing w:line="240" w:lineRule="auto"/>
              <w:ind w:left="1596"/>
              <w:contextualSpacing/>
              <w:rPr>
                <w:rFonts w:ascii="Calibri" w:eastAsia="Calibri" w:hAnsi="Calibri" w:cs="Times New Roman"/>
              </w:rPr>
            </w:pPr>
            <w:r w:rsidRPr="00A87470">
              <w:rPr>
                <w:rFonts w:ascii="Calibri" w:eastAsia="Calibri" w:hAnsi="Calibri" w:cs="Times New Roman"/>
              </w:rPr>
              <w:t>Intestine</w:t>
            </w:r>
          </w:p>
          <w:p w14:paraId="6A8357F2"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Hypoglycemia [</w:t>
            </w:r>
            <w:r w:rsidRPr="00890DEA">
              <w:rPr>
                <w:rFonts w:ascii="Calibri" w:eastAsia="Calibri" w:hAnsi="Calibri" w:cs="Times New Roman"/>
                <w:u w:val="single"/>
                <w:lang w:val="en-US"/>
              </w:rPr>
              <w:t>&lt;</w:t>
            </w:r>
            <w:r w:rsidRPr="00890DEA">
              <w:rPr>
                <w:rFonts w:ascii="Calibri" w:eastAsia="Calibri" w:hAnsi="Calibri" w:cs="Times New Roman"/>
                <w:lang w:val="en-US"/>
              </w:rPr>
              <w:t xml:space="preserve"> 3.9 mmol/L] (Y/N)</w:t>
            </w:r>
          </w:p>
          <w:p w14:paraId="4BD1BBD3" w14:textId="77777777" w:rsidR="00CA6F06" w:rsidRPr="00A87470" w:rsidRDefault="00CA6F06" w:rsidP="00CA6F06">
            <w:pPr>
              <w:numPr>
                <w:ilvl w:val="0"/>
                <w:numId w:val="7"/>
              </w:numPr>
              <w:spacing w:line="240" w:lineRule="auto"/>
              <w:contextualSpacing/>
              <w:rPr>
                <w:rFonts w:ascii="Calibri" w:eastAsia="Calibri" w:hAnsi="Calibri" w:cs="Times New Roman"/>
              </w:rPr>
            </w:pPr>
            <w:r w:rsidRPr="00A87470">
              <w:rPr>
                <w:rFonts w:ascii="Calibri" w:eastAsia="Calibri" w:hAnsi="Calibri" w:cs="Times New Roman"/>
              </w:rPr>
              <w:t>Hypernatriemia [&gt;159 mmol/L] (Y/N)</w:t>
            </w:r>
          </w:p>
          <w:p w14:paraId="481F707C" w14:textId="77777777" w:rsidR="00CA6F06" w:rsidRPr="00890DEA" w:rsidRDefault="00CA6F06" w:rsidP="00CA6F06">
            <w:pPr>
              <w:numPr>
                <w:ilvl w:val="0"/>
                <w:numId w:val="7"/>
              </w:numPr>
              <w:spacing w:line="240" w:lineRule="auto"/>
              <w:contextualSpacing/>
              <w:rPr>
                <w:rFonts w:ascii="Calibri" w:eastAsia="Calibri" w:hAnsi="Calibri" w:cs="Times New Roman"/>
                <w:lang w:val="en-US"/>
              </w:rPr>
            </w:pPr>
            <w:r w:rsidRPr="00890DEA">
              <w:rPr>
                <w:rFonts w:ascii="Calibri" w:eastAsia="Calibri" w:hAnsi="Calibri" w:cs="Times New Roman"/>
                <w:lang w:val="en-US"/>
              </w:rPr>
              <w:t>Hyperchloremic acidosis [pH&lt;7.15 and plasma-chloride &gt;115 mmol/L] (Y/N)</w:t>
            </w:r>
          </w:p>
          <w:p w14:paraId="792B0EEC" w14:textId="77777777" w:rsidR="00CA6F06" w:rsidRPr="00890DEA" w:rsidRDefault="00CA6F06" w:rsidP="00EB2848">
            <w:pPr>
              <w:ind w:left="830" w:hanging="425"/>
              <w:rPr>
                <w:rFonts w:ascii="Calibri" w:eastAsia="Calibri" w:hAnsi="Calibri" w:cs="Times New Roman"/>
                <w:lang w:val="en-US"/>
              </w:rPr>
            </w:pPr>
            <w:r w:rsidRPr="00890DEA">
              <w:rPr>
                <w:rFonts w:ascii="Calibri" w:eastAsia="Calibri" w:hAnsi="Calibri" w:cs="Times New Roman"/>
                <w:lang w:val="en-US"/>
              </w:rPr>
              <w:t>-     Metabolic alkalosis [pH&gt;7.59 and base excess &gt;9] (Y/N)</w:t>
            </w:r>
          </w:p>
          <w:p w14:paraId="03E877B0" w14:textId="77777777" w:rsidR="00CA6F06" w:rsidRPr="004E1B23" w:rsidRDefault="00CA6F06" w:rsidP="00CA6F06">
            <w:pPr>
              <w:pStyle w:val="Listeafsnit"/>
              <w:numPr>
                <w:ilvl w:val="0"/>
                <w:numId w:val="23"/>
              </w:numPr>
              <w:spacing w:line="240" w:lineRule="auto"/>
              <w:ind w:left="745"/>
              <w:rPr>
                <w:rFonts w:ascii="Calibri" w:eastAsia="Calibri" w:hAnsi="Calibri" w:cs="Times New Roman"/>
              </w:rPr>
            </w:pPr>
            <w:r>
              <w:rPr>
                <w:rFonts w:ascii="Calibri" w:eastAsia="Calibri" w:hAnsi="Calibri" w:cs="Times New Roman"/>
              </w:rPr>
              <w:t>Suspected unexpected complications (SUSAC)</w:t>
            </w:r>
          </w:p>
        </w:tc>
      </w:tr>
      <w:tr w:rsidR="00CA6F06" w:rsidRPr="00EB2848" w14:paraId="4F7096DF" w14:textId="77777777" w:rsidTr="00EB2848">
        <w:tc>
          <w:tcPr>
            <w:tcW w:w="2828" w:type="dxa"/>
            <w:tcBorders>
              <w:left w:val="single" w:sz="4" w:space="0" w:color="auto"/>
              <w:right w:val="single" w:sz="4" w:space="0" w:color="auto"/>
            </w:tcBorders>
          </w:tcPr>
          <w:p w14:paraId="3EC352B7" w14:textId="77777777" w:rsidR="00CA6F06" w:rsidRPr="00972625" w:rsidRDefault="00CA6F06" w:rsidP="00EB2848">
            <w:pPr>
              <w:rPr>
                <w:rFonts w:ascii="Calibri" w:eastAsia="Calibri" w:hAnsi="Calibri" w:cs="Times New Roman"/>
                <w:b/>
                <w:bCs/>
              </w:rPr>
            </w:pPr>
            <w:r w:rsidRPr="00972625">
              <w:rPr>
                <w:rFonts w:ascii="Calibri" w:eastAsia="Calibri" w:hAnsi="Calibri" w:cs="Times New Roman"/>
                <w:b/>
                <w:bCs/>
              </w:rPr>
              <w:t>Consent</w:t>
            </w:r>
          </w:p>
        </w:tc>
        <w:tc>
          <w:tcPr>
            <w:tcW w:w="6335" w:type="dxa"/>
            <w:tcBorders>
              <w:left w:val="single" w:sz="4" w:space="0" w:color="auto"/>
            </w:tcBorders>
          </w:tcPr>
          <w:p w14:paraId="66491351"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Patient responsible informed (Y/N) and patient informed  (Y/N)</w:t>
            </w:r>
          </w:p>
          <w:p w14:paraId="1C76E64A" w14:textId="77777777" w:rsidR="00CA6F06" w:rsidRDefault="00CA6F06" w:rsidP="00CA6F06">
            <w:pPr>
              <w:pStyle w:val="Listeafsnit"/>
              <w:numPr>
                <w:ilvl w:val="0"/>
                <w:numId w:val="23"/>
              </w:numPr>
              <w:spacing w:line="240" w:lineRule="auto"/>
              <w:ind w:left="745"/>
              <w:rPr>
                <w:rFonts w:ascii="Calibri" w:eastAsia="Calibri" w:hAnsi="Calibri" w:cs="Times New Roman"/>
              </w:rPr>
            </w:pPr>
            <w:r>
              <w:rPr>
                <w:rFonts w:ascii="Calibri" w:eastAsia="Calibri" w:hAnsi="Calibri" w:cs="Times New Roman"/>
              </w:rPr>
              <w:t>Date informed (if Y)</w:t>
            </w:r>
          </w:p>
          <w:p w14:paraId="186D72E3" w14:textId="77777777" w:rsidR="00CA6F06" w:rsidRDefault="00CA6F06" w:rsidP="00CA6F06">
            <w:pPr>
              <w:pStyle w:val="Listeafsnit"/>
              <w:numPr>
                <w:ilvl w:val="0"/>
                <w:numId w:val="23"/>
              </w:numPr>
              <w:spacing w:line="240" w:lineRule="auto"/>
              <w:ind w:left="745"/>
              <w:rPr>
                <w:rFonts w:ascii="Calibri" w:eastAsia="Calibri" w:hAnsi="Calibri" w:cs="Times New Roman"/>
              </w:rPr>
            </w:pPr>
            <w:r>
              <w:rPr>
                <w:rFonts w:ascii="Calibri" w:eastAsia="Calibri" w:hAnsi="Calibri" w:cs="Times New Roman"/>
              </w:rPr>
              <w:t>Reasons (if N)</w:t>
            </w:r>
          </w:p>
          <w:p w14:paraId="39DD2550" w14:textId="77777777" w:rsidR="00CA6F06" w:rsidRPr="00890DEA" w:rsidRDefault="00CA6F06" w:rsidP="00CA6F06">
            <w:pPr>
              <w:pStyle w:val="Listeafsnit"/>
              <w:numPr>
                <w:ilvl w:val="0"/>
                <w:numId w:val="23"/>
              </w:numPr>
              <w:spacing w:line="240" w:lineRule="auto"/>
              <w:ind w:left="745"/>
              <w:rPr>
                <w:rFonts w:ascii="Calibri" w:eastAsia="Calibri" w:hAnsi="Calibri" w:cs="Times New Roman"/>
                <w:lang w:val="en-US"/>
              </w:rPr>
            </w:pPr>
            <w:r w:rsidRPr="00890DEA">
              <w:rPr>
                <w:rFonts w:ascii="Calibri" w:eastAsia="Calibri" w:hAnsi="Calibri" w:cs="Times New Roman"/>
                <w:lang w:val="en-US"/>
              </w:rPr>
              <w:t>Objected to participation/consented (Y/N)</w:t>
            </w:r>
          </w:p>
          <w:p w14:paraId="73ED4666"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Consent withdrawn (Y/N by patient or by person responsible)</w:t>
            </w:r>
          </w:p>
          <w:p w14:paraId="70B2BD2C" w14:textId="77777777" w:rsidR="00CA6F06" w:rsidRPr="00E94CEE" w:rsidRDefault="00CA6F06" w:rsidP="00CA6F06">
            <w:pPr>
              <w:pStyle w:val="Listeafsnit"/>
              <w:numPr>
                <w:ilvl w:val="0"/>
                <w:numId w:val="24"/>
              </w:numPr>
              <w:spacing w:line="240" w:lineRule="auto"/>
              <w:rPr>
                <w:rFonts w:ascii="Calibri" w:eastAsia="Calibri" w:hAnsi="Calibri" w:cs="Times New Roman"/>
              </w:rPr>
            </w:pPr>
            <w:r w:rsidRPr="00E94CEE">
              <w:rPr>
                <w:rFonts w:ascii="Calibri" w:eastAsia="Calibri" w:hAnsi="Calibri" w:cs="Times New Roman"/>
              </w:rPr>
              <w:t>Date of withdrawal</w:t>
            </w:r>
          </w:p>
          <w:p w14:paraId="14104696" w14:textId="77777777" w:rsidR="00CA6F06" w:rsidRPr="00890DEA" w:rsidRDefault="00CA6F06" w:rsidP="00CA6F06">
            <w:pPr>
              <w:pStyle w:val="Listeafsnit"/>
              <w:numPr>
                <w:ilvl w:val="0"/>
                <w:numId w:val="24"/>
              </w:numPr>
              <w:spacing w:line="240" w:lineRule="auto"/>
              <w:rPr>
                <w:rFonts w:ascii="Calibri" w:eastAsia="Calibri" w:hAnsi="Calibri" w:cs="Times New Roman"/>
                <w:lang w:val="en-US"/>
              </w:rPr>
            </w:pPr>
            <w:r w:rsidRPr="00890DEA">
              <w:rPr>
                <w:rFonts w:ascii="Calibri" w:eastAsia="Calibri" w:hAnsi="Calibri" w:cs="Times New Roman"/>
                <w:lang w:val="en-US"/>
              </w:rPr>
              <w:t>Can the data be used (Y/N)</w:t>
            </w:r>
          </w:p>
        </w:tc>
      </w:tr>
      <w:tr w:rsidR="00CA6F06" w:rsidRPr="00EB2848" w14:paraId="30011124" w14:textId="77777777" w:rsidTr="00EB2848">
        <w:tc>
          <w:tcPr>
            <w:tcW w:w="2828" w:type="dxa"/>
            <w:tcBorders>
              <w:left w:val="single" w:sz="4" w:space="0" w:color="auto"/>
              <w:right w:val="single" w:sz="4" w:space="0" w:color="auto"/>
            </w:tcBorders>
          </w:tcPr>
          <w:p w14:paraId="2D58D390" w14:textId="77777777" w:rsidR="00CA6F06" w:rsidRPr="00972625" w:rsidRDefault="00CA6F06" w:rsidP="00EB2848">
            <w:pPr>
              <w:rPr>
                <w:rFonts w:ascii="Calibri" w:eastAsia="Calibri" w:hAnsi="Calibri" w:cs="Times New Roman"/>
                <w:b/>
                <w:bCs/>
              </w:rPr>
            </w:pPr>
            <w:r w:rsidRPr="00972625">
              <w:rPr>
                <w:rFonts w:ascii="Calibri" w:eastAsia="Calibri" w:hAnsi="Calibri" w:cs="Times New Roman"/>
                <w:b/>
                <w:bCs/>
              </w:rPr>
              <w:t>90-day follow-up</w:t>
            </w:r>
          </w:p>
        </w:tc>
        <w:tc>
          <w:tcPr>
            <w:tcW w:w="6335" w:type="dxa"/>
            <w:tcBorders>
              <w:left w:val="single" w:sz="4" w:space="0" w:color="auto"/>
            </w:tcBorders>
          </w:tcPr>
          <w:p w14:paraId="43B8FA07"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Date of follow-up</w:t>
            </w:r>
          </w:p>
          <w:p w14:paraId="2A5CB9A8"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Status (alive/deceased)</w:t>
            </w:r>
          </w:p>
          <w:p w14:paraId="424B3713"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Days alive and free of renal replacement therapy (RRT)</w:t>
            </w:r>
          </w:p>
          <w:p w14:paraId="5A8CB3F6"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Days alive and without invasive (intubated or tracheostomy) mechanical ventilation</w:t>
            </w:r>
          </w:p>
          <w:p w14:paraId="62E0B8F6"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Days alive without vasopressors</w:t>
            </w:r>
          </w:p>
          <w:p w14:paraId="622491FA"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Days alive with full enteral nutrition</w:t>
            </w:r>
          </w:p>
        </w:tc>
      </w:tr>
      <w:tr w:rsidR="00CA6F06" w:rsidRPr="00EB2848" w14:paraId="6248DA22" w14:textId="77777777" w:rsidTr="00EB2848">
        <w:tc>
          <w:tcPr>
            <w:tcW w:w="2828" w:type="dxa"/>
            <w:vMerge w:val="restart"/>
            <w:tcBorders>
              <w:left w:val="single" w:sz="4" w:space="0" w:color="auto"/>
              <w:right w:val="single" w:sz="4" w:space="0" w:color="auto"/>
            </w:tcBorders>
          </w:tcPr>
          <w:p w14:paraId="33FB6C71" w14:textId="77777777" w:rsidR="00CA6F06" w:rsidRPr="00972625" w:rsidRDefault="00CA6F06" w:rsidP="00EB2848">
            <w:pPr>
              <w:rPr>
                <w:rFonts w:ascii="Calibri" w:eastAsia="Calibri" w:hAnsi="Calibri" w:cs="Times New Roman"/>
                <w:b/>
                <w:bCs/>
              </w:rPr>
            </w:pPr>
            <w:r w:rsidRPr="00972625">
              <w:rPr>
                <w:rFonts w:ascii="Calibri" w:eastAsia="Calibri" w:hAnsi="Calibri" w:cs="Times New Roman"/>
                <w:b/>
                <w:bCs/>
              </w:rPr>
              <w:t>6-month follow-up</w:t>
            </w:r>
          </w:p>
        </w:tc>
        <w:tc>
          <w:tcPr>
            <w:tcW w:w="6335" w:type="dxa"/>
            <w:tcBorders>
              <w:left w:val="single" w:sz="4" w:space="0" w:color="auto"/>
            </w:tcBorders>
          </w:tcPr>
          <w:p w14:paraId="4F7C0723"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Date of follow-up</w:t>
            </w:r>
          </w:p>
          <w:p w14:paraId="642AAC9E"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Status (alive/deceased)</w:t>
            </w:r>
          </w:p>
          <w:p w14:paraId="542D209C"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lastRenderedPageBreak/>
              <w:t>Place of follow up (Institution/ home of patient/ telephone/ digital)</w:t>
            </w:r>
          </w:p>
        </w:tc>
      </w:tr>
      <w:tr w:rsidR="00CA6F06" w:rsidRPr="00EB2848" w14:paraId="59CB4725" w14:textId="77777777" w:rsidTr="00EB2848">
        <w:tc>
          <w:tcPr>
            <w:tcW w:w="2828" w:type="dxa"/>
            <w:vMerge/>
            <w:tcBorders>
              <w:left w:val="single" w:sz="4" w:space="0" w:color="auto"/>
              <w:right w:val="single" w:sz="4" w:space="0" w:color="auto"/>
            </w:tcBorders>
          </w:tcPr>
          <w:p w14:paraId="1FE545E9" w14:textId="77777777" w:rsidR="00CA6F06" w:rsidRPr="00890DEA" w:rsidRDefault="00CA6F06" w:rsidP="00EB2848">
            <w:pPr>
              <w:rPr>
                <w:rFonts w:ascii="Calibri" w:eastAsia="Calibri" w:hAnsi="Calibri" w:cs="Times New Roman"/>
                <w:b/>
                <w:bCs/>
                <w:lang w:val="en-US"/>
              </w:rPr>
            </w:pPr>
          </w:p>
        </w:tc>
        <w:tc>
          <w:tcPr>
            <w:tcW w:w="6335" w:type="dxa"/>
            <w:tcBorders>
              <w:left w:val="single" w:sz="4" w:space="0" w:color="auto"/>
            </w:tcBorders>
          </w:tcPr>
          <w:p w14:paraId="39B7C347" w14:textId="77777777" w:rsidR="00CA6F06" w:rsidRPr="00890DEA" w:rsidRDefault="00CA6F06" w:rsidP="00EB2848">
            <w:pPr>
              <w:rPr>
                <w:rFonts w:ascii="Calibri" w:eastAsia="Calibri" w:hAnsi="Calibri" w:cs="Times New Roman"/>
                <w:lang w:val="en-US"/>
              </w:rPr>
            </w:pPr>
            <w:r w:rsidRPr="00890DEA">
              <w:rPr>
                <w:rFonts w:ascii="Calibri" w:eastAsia="Calibri" w:hAnsi="Calibri" w:cs="Times New Roman"/>
                <w:lang w:val="en-US"/>
              </w:rPr>
              <w:t>Health-Related Quality of Life using the European Quality of Life-5 Dimensions 5-Level questionnaire</w:t>
            </w:r>
          </w:p>
        </w:tc>
      </w:tr>
      <w:tr w:rsidR="00CA6F06" w:rsidRPr="002D1E29" w14:paraId="79220E43" w14:textId="77777777" w:rsidTr="00EB2848">
        <w:tc>
          <w:tcPr>
            <w:tcW w:w="2828" w:type="dxa"/>
            <w:vMerge/>
            <w:tcBorders>
              <w:left w:val="single" w:sz="4" w:space="0" w:color="auto"/>
              <w:right w:val="single" w:sz="4" w:space="0" w:color="auto"/>
            </w:tcBorders>
          </w:tcPr>
          <w:p w14:paraId="667533CD" w14:textId="77777777" w:rsidR="00CA6F06" w:rsidRPr="00890DEA" w:rsidRDefault="00CA6F06" w:rsidP="00EB2848">
            <w:pPr>
              <w:rPr>
                <w:rFonts w:ascii="Calibri" w:eastAsia="Calibri" w:hAnsi="Calibri" w:cs="Times New Roman"/>
                <w:b/>
                <w:bCs/>
                <w:lang w:val="en-US"/>
              </w:rPr>
            </w:pPr>
          </w:p>
        </w:tc>
        <w:tc>
          <w:tcPr>
            <w:tcW w:w="6335" w:type="dxa"/>
            <w:tcBorders>
              <w:left w:val="single" w:sz="4" w:space="0" w:color="auto"/>
            </w:tcBorders>
          </w:tcPr>
          <w:p w14:paraId="395125C0" w14:textId="77777777" w:rsidR="00CA6F06" w:rsidRDefault="00CA6F06" w:rsidP="00EB2848">
            <w:pPr>
              <w:rPr>
                <w:rFonts w:ascii="Calibri" w:eastAsia="Calibri" w:hAnsi="Calibri" w:cs="Times New Roman"/>
              </w:rPr>
            </w:pPr>
            <w:r w:rsidRPr="00686941">
              <w:rPr>
                <w:rFonts w:ascii="Calibri" w:eastAsia="Calibri" w:hAnsi="Calibri" w:cs="Times New Roman"/>
              </w:rPr>
              <w:t>Life satisfaction</w:t>
            </w:r>
            <w:r>
              <w:rPr>
                <w:rFonts w:ascii="Calibri" w:eastAsia="Calibri" w:hAnsi="Calibri" w:cs="Times New Roman"/>
              </w:rPr>
              <w:t xml:space="preserve"> (scale of 1-10)</w:t>
            </w:r>
          </w:p>
        </w:tc>
      </w:tr>
      <w:tr w:rsidR="00CA6F06" w:rsidRPr="002D1E29" w14:paraId="20A1ABAE" w14:textId="77777777" w:rsidTr="00EB2848">
        <w:tc>
          <w:tcPr>
            <w:tcW w:w="2828" w:type="dxa"/>
            <w:vMerge/>
            <w:tcBorders>
              <w:left w:val="single" w:sz="4" w:space="0" w:color="auto"/>
              <w:right w:val="single" w:sz="4" w:space="0" w:color="auto"/>
            </w:tcBorders>
          </w:tcPr>
          <w:p w14:paraId="2A8A268A" w14:textId="77777777" w:rsidR="00CA6F06" w:rsidRPr="00972625" w:rsidRDefault="00CA6F06" w:rsidP="00EB2848">
            <w:pPr>
              <w:rPr>
                <w:rFonts w:ascii="Calibri" w:eastAsia="Calibri" w:hAnsi="Calibri" w:cs="Times New Roman"/>
                <w:b/>
                <w:bCs/>
              </w:rPr>
            </w:pPr>
          </w:p>
        </w:tc>
        <w:tc>
          <w:tcPr>
            <w:tcW w:w="6335" w:type="dxa"/>
            <w:tcBorders>
              <w:left w:val="single" w:sz="4" w:space="0" w:color="auto"/>
            </w:tcBorders>
          </w:tcPr>
          <w:p w14:paraId="10F53BE6" w14:textId="77777777" w:rsidR="00CA6F06" w:rsidRDefault="00CA6F06" w:rsidP="00EB2848">
            <w:pPr>
              <w:rPr>
                <w:rFonts w:ascii="Calibri" w:eastAsia="Calibri" w:hAnsi="Calibri" w:cs="Times New Roman"/>
              </w:rPr>
            </w:pPr>
            <w:r w:rsidRPr="00686941">
              <w:rPr>
                <w:rFonts w:ascii="Calibri" w:eastAsia="Calibri" w:hAnsi="Calibri" w:cs="Times New Roman"/>
              </w:rPr>
              <w:t>Background information</w:t>
            </w:r>
          </w:p>
          <w:p w14:paraId="2B07B023" w14:textId="77777777" w:rsidR="00CA6F06" w:rsidRPr="00890DEA" w:rsidRDefault="00CA6F06" w:rsidP="00CA6F06">
            <w:pPr>
              <w:pStyle w:val="Listeafsnit"/>
              <w:numPr>
                <w:ilvl w:val="0"/>
                <w:numId w:val="25"/>
              </w:numPr>
              <w:spacing w:line="240" w:lineRule="auto"/>
              <w:rPr>
                <w:rFonts w:ascii="Calibri" w:eastAsia="Calibri" w:hAnsi="Calibri" w:cs="Times New Roman"/>
                <w:lang w:val="en-US"/>
              </w:rPr>
            </w:pPr>
            <w:r w:rsidRPr="00890DEA">
              <w:rPr>
                <w:rFonts w:ascii="Calibri" w:eastAsia="Calibri" w:hAnsi="Calibri" w:cs="Times New Roman"/>
                <w:lang w:val="en-US"/>
              </w:rPr>
              <w:t>Does the patient have a native language other than the test language (Y/N)</w:t>
            </w:r>
          </w:p>
          <w:p w14:paraId="60FCF06D" w14:textId="77777777" w:rsidR="00CA6F06" w:rsidRPr="00890DEA" w:rsidRDefault="00CA6F06" w:rsidP="00CA6F06">
            <w:pPr>
              <w:pStyle w:val="Listeafsnit"/>
              <w:numPr>
                <w:ilvl w:val="0"/>
                <w:numId w:val="25"/>
              </w:numPr>
              <w:spacing w:line="240" w:lineRule="auto"/>
              <w:rPr>
                <w:rFonts w:ascii="Calibri" w:eastAsia="Calibri" w:hAnsi="Calibri" w:cs="Times New Roman"/>
                <w:lang w:val="en-US"/>
              </w:rPr>
            </w:pPr>
            <w:r w:rsidRPr="00890DEA">
              <w:rPr>
                <w:rFonts w:ascii="Calibri" w:eastAsia="Calibri" w:hAnsi="Calibri" w:cs="Times New Roman"/>
                <w:lang w:val="en-US"/>
              </w:rPr>
              <w:t>capabilities that may interfere with the patient's ability to perform the tests</w:t>
            </w:r>
          </w:p>
          <w:p w14:paraId="62A06AE6" w14:textId="77777777" w:rsidR="00CA6F06" w:rsidRPr="00686941" w:rsidRDefault="00CA6F06" w:rsidP="00CA6F06">
            <w:pPr>
              <w:pStyle w:val="Listeafsnit"/>
              <w:numPr>
                <w:ilvl w:val="0"/>
                <w:numId w:val="25"/>
              </w:numPr>
              <w:spacing w:line="240" w:lineRule="auto"/>
              <w:ind w:left="1170"/>
              <w:rPr>
                <w:rFonts w:ascii="Calibri" w:eastAsia="Calibri" w:hAnsi="Calibri" w:cs="Times New Roman"/>
              </w:rPr>
            </w:pPr>
            <w:r w:rsidRPr="00686941">
              <w:rPr>
                <w:rFonts w:ascii="Calibri" w:eastAsia="Calibri" w:hAnsi="Calibri" w:cs="Times New Roman"/>
              </w:rPr>
              <w:t>No problems</w:t>
            </w:r>
          </w:p>
          <w:p w14:paraId="3F31E993" w14:textId="77777777" w:rsidR="00CA6F06" w:rsidRPr="00686941" w:rsidRDefault="00CA6F06" w:rsidP="00CA6F06">
            <w:pPr>
              <w:pStyle w:val="Listeafsnit"/>
              <w:numPr>
                <w:ilvl w:val="0"/>
                <w:numId w:val="25"/>
              </w:numPr>
              <w:spacing w:line="240" w:lineRule="auto"/>
              <w:ind w:left="1170"/>
              <w:rPr>
                <w:rFonts w:ascii="Calibri" w:eastAsia="Calibri" w:hAnsi="Calibri" w:cs="Times New Roman"/>
              </w:rPr>
            </w:pPr>
            <w:r w:rsidRPr="00686941">
              <w:rPr>
                <w:rFonts w:ascii="Calibri" w:eastAsia="Calibri" w:hAnsi="Calibri" w:cs="Times New Roman"/>
              </w:rPr>
              <w:t>Hearing</w:t>
            </w:r>
          </w:p>
          <w:p w14:paraId="78DA7514" w14:textId="77777777" w:rsidR="00CA6F06" w:rsidRPr="00686941" w:rsidRDefault="00CA6F06" w:rsidP="00CA6F06">
            <w:pPr>
              <w:pStyle w:val="Listeafsnit"/>
              <w:numPr>
                <w:ilvl w:val="0"/>
                <w:numId w:val="25"/>
              </w:numPr>
              <w:spacing w:line="240" w:lineRule="auto"/>
              <w:ind w:left="1170"/>
              <w:rPr>
                <w:rFonts w:ascii="Calibri" w:eastAsia="Calibri" w:hAnsi="Calibri" w:cs="Times New Roman"/>
              </w:rPr>
            </w:pPr>
            <w:r w:rsidRPr="00686941">
              <w:rPr>
                <w:rFonts w:ascii="Calibri" w:eastAsia="Calibri" w:hAnsi="Calibri" w:cs="Times New Roman"/>
              </w:rPr>
              <w:t>Vision</w:t>
            </w:r>
          </w:p>
          <w:p w14:paraId="6FCA87CF" w14:textId="77777777" w:rsidR="00CA6F06" w:rsidRPr="00686941" w:rsidRDefault="00CA6F06" w:rsidP="00CA6F06">
            <w:pPr>
              <w:pStyle w:val="Listeafsnit"/>
              <w:numPr>
                <w:ilvl w:val="0"/>
                <w:numId w:val="25"/>
              </w:numPr>
              <w:spacing w:line="240" w:lineRule="auto"/>
              <w:ind w:left="1170"/>
              <w:rPr>
                <w:rFonts w:ascii="Calibri" w:eastAsia="Calibri" w:hAnsi="Calibri" w:cs="Times New Roman"/>
              </w:rPr>
            </w:pPr>
            <w:r w:rsidRPr="00686941">
              <w:rPr>
                <w:rFonts w:ascii="Calibri" w:eastAsia="Calibri" w:hAnsi="Calibri" w:cs="Times New Roman"/>
              </w:rPr>
              <w:t>Speech problems</w:t>
            </w:r>
          </w:p>
          <w:p w14:paraId="47C900AB" w14:textId="77777777" w:rsidR="00CA6F06" w:rsidRPr="00686941" w:rsidRDefault="00CA6F06" w:rsidP="00CA6F06">
            <w:pPr>
              <w:pStyle w:val="Listeafsnit"/>
              <w:numPr>
                <w:ilvl w:val="0"/>
                <w:numId w:val="25"/>
              </w:numPr>
              <w:spacing w:line="240" w:lineRule="auto"/>
              <w:ind w:left="1170"/>
              <w:rPr>
                <w:rFonts w:ascii="Calibri" w:eastAsia="Calibri" w:hAnsi="Calibri" w:cs="Times New Roman"/>
              </w:rPr>
            </w:pPr>
            <w:r w:rsidRPr="00686941">
              <w:rPr>
                <w:rFonts w:ascii="Calibri" w:eastAsia="Calibri" w:hAnsi="Calibri" w:cs="Times New Roman"/>
              </w:rPr>
              <w:t>Dyslexia</w:t>
            </w:r>
          </w:p>
          <w:p w14:paraId="052B6C54" w14:textId="77777777" w:rsidR="00CA6F06" w:rsidRPr="00686941" w:rsidRDefault="00CA6F06" w:rsidP="00CA6F06">
            <w:pPr>
              <w:pStyle w:val="Listeafsnit"/>
              <w:numPr>
                <w:ilvl w:val="0"/>
                <w:numId w:val="25"/>
              </w:numPr>
              <w:spacing w:line="240" w:lineRule="auto"/>
              <w:ind w:left="1170"/>
              <w:rPr>
                <w:rFonts w:ascii="Calibri" w:eastAsia="Calibri" w:hAnsi="Calibri" w:cs="Times New Roman"/>
              </w:rPr>
            </w:pPr>
            <w:r w:rsidRPr="00686941">
              <w:rPr>
                <w:rFonts w:ascii="Calibri" w:eastAsia="Calibri" w:hAnsi="Calibri" w:cs="Times New Roman"/>
              </w:rPr>
              <w:t>Paresis</w:t>
            </w:r>
          </w:p>
          <w:p w14:paraId="6DE77B93" w14:textId="77777777" w:rsidR="00CA6F06" w:rsidRPr="00890DEA" w:rsidRDefault="00CA6F06" w:rsidP="00CA6F06">
            <w:pPr>
              <w:pStyle w:val="Listeafsnit"/>
              <w:numPr>
                <w:ilvl w:val="0"/>
                <w:numId w:val="25"/>
              </w:numPr>
              <w:spacing w:line="240" w:lineRule="auto"/>
              <w:ind w:left="1170"/>
              <w:rPr>
                <w:rFonts w:ascii="Calibri" w:eastAsia="Calibri" w:hAnsi="Calibri" w:cs="Times New Roman"/>
                <w:lang w:val="en-US"/>
              </w:rPr>
            </w:pPr>
            <w:r w:rsidRPr="00890DEA">
              <w:rPr>
                <w:rFonts w:ascii="Calibri" w:eastAsia="Calibri" w:hAnsi="Calibri" w:cs="Times New Roman"/>
                <w:lang w:val="en-US"/>
              </w:rPr>
              <w:t>Memory problems or other cognitive problems prior to the episode of sepsis</w:t>
            </w:r>
          </w:p>
          <w:p w14:paraId="647CA4EB" w14:textId="77777777" w:rsidR="00CA6F06" w:rsidRDefault="00CA6F06" w:rsidP="00CA6F06">
            <w:pPr>
              <w:pStyle w:val="Listeafsnit"/>
              <w:numPr>
                <w:ilvl w:val="0"/>
                <w:numId w:val="25"/>
              </w:numPr>
              <w:spacing w:line="240" w:lineRule="auto"/>
              <w:ind w:left="1170"/>
              <w:rPr>
                <w:rFonts w:ascii="Calibri" w:eastAsia="Calibri" w:hAnsi="Calibri" w:cs="Times New Roman"/>
              </w:rPr>
            </w:pPr>
            <w:r w:rsidRPr="00686941">
              <w:rPr>
                <w:rFonts w:ascii="Calibri" w:eastAsia="Calibri" w:hAnsi="Calibri" w:cs="Times New Roman"/>
              </w:rPr>
              <w:t>Other</w:t>
            </w:r>
          </w:p>
          <w:p w14:paraId="1CCFC894" w14:textId="77777777" w:rsidR="00CA6F06" w:rsidRDefault="00CA6F06" w:rsidP="00CA6F06">
            <w:pPr>
              <w:pStyle w:val="Listeafsnit"/>
              <w:numPr>
                <w:ilvl w:val="0"/>
                <w:numId w:val="25"/>
              </w:numPr>
              <w:spacing w:line="240" w:lineRule="auto"/>
              <w:rPr>
                <w:rFonts w:ascii="Calibri" w:eastAsia="Calibri" w:hAnsi="Calibri" w:cs="Times New Roman"/>
              </w:rPr>
            </w:pPr>
            <w:r>
              <w:rPr>
                <w:rFonts w:ascii="Calibri" w:eastAsia="Calibri" w:hAnsi="Calibri" w:cs="Times New Roman"/>
              </w:rPr>
              <w:t>K</w:t>
            </w:r>
            <w:r w:rsidRPr="00686941">
              <w:rPr>
                <w:rFonts w:ascii="Calibri" w:eastAsia="Calibri" w:hAnsi="Calibri" w:cs="Times New Roman"/>
              </w:rPr>
              <w:t>nown neurological disease</w:t>
            </w:r>
          </w:p>
          <w:p w14:paraId="6A4E9D3F" w14:textId="77777777" w:rsidR="00CA6F06" w:rsidRPr="00B37180" w:rsidRDefault="00CA6F06" w:rsidP="00CA6F06">
            <w:pPr>
              <w:pStyle w:val="Listeafsnit"/>
              <w:numPr>
                <w:ilvl w:val="0"/>
                <w:numId w:val="25"/>
              </w:numPr>
              <w:spacing w:line="240" w:lineRule="auto"/>
              <w:rPr>
                <w:rFonts w:ascii="Calibri" w:eastAsia="Calibri" w:hAnsi="Calibri" w:cs="Times New Roman"/>
              </w:rPr>
            </w:pPr>
            <w:r>
              <w:rPr>
                <w:rFonts w:ascii="Calibri" w:eastAsia="Calibri" w:hAnsi="Calibri" w:cs="Times New Roman"/>
              </w:rPr>
              <w:t>H</w:t>
            </w:r>
            <w:r w:rsidRPr="00686941">
              <w:rPr>
                <w:rFonts w:ascii="Calibri" w:eastAsia="Calibri" w:hAnsi="Calibri" w:cs="Times New Roman"/>
              </w:rPr>
              <w:t>ighest education level</w:t>
            </w:r>
          </w:p>
          <w:p w14:paraId="64F35EAA"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No formal education</w:t>
            </w:r>
          </w:p>
          <w:p w14:paraId="6783855C"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Incomplete primary/lower secondary school</w:t>
            </w:r>
          </w:p>
          <w:p w14:paraId="3B9FFFF3"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Complete primary/lower secondary school</w:t>
            </w:r>
          </w:p>
          <w:p w14:paraId="042AEBD7"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Incomplete upper secondary school</w:t>
            </w:r>
          </w:p>
          <w:p w14:paraId="7DA6536B"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Complete upper secondary school</w:t>
            </w:r>
          </w:p>
          <w:p w14:paraId="70DB388A" w14:textId="77777777" w:rsidR="00CA6F06" w:rsidRPr="00890DEA" w:rsidRDefault="00CA6F06" w:rsidP="00CA6F06">
            <w:pPr>
              <w:pStyle w:val="Listeafsnit"/>
              <w:numPr>
                <w:ilvl w:val="0"/>
                <w:numId w:val="25"/>
              </w:numPr>
              <w:spacing w:line="240" w:lineRule="auto"/>
              <w:ind w:left="1170"/>
              <w:rPr>
                <w:rFonts w:ascii="Calibri" w:eastAsia="Calibri" w:hAnsi="Calibri" w:cs="Times New Roman"/>
                <w:lang w:val="en-US"/>
              </w:rPr>
            </w:pPr>
            <w:r w:rsidRPr="00890DEA">
              <w:rPr>
                <w:rFonts w:ascii="Calibri" w:eastAsia="Calibri" w:hAnsi="Calibri" w:cs="Times New Roman"/>
                <w:lang w:val="en-US"/>
              </w:rPr>
              <w:t>Some university-level education, without degree</w:t>
            </w:r>
          </w:p>
          <w:p w14:paraId="2514EBF6" w14:textId="77777777" w:rsidR="00CA6F06"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University-level education, with degree</w:t>
            </w:r>
          </w:p>
          <w:p w14:paraId="2EAD1083" w14:textId="77777777" w:rsidR="00CA6F06" w:rsidRPr="00890DEA" w:rsidRDefault="00CA6F06" w:rsidP="00CA6F06">
            <w:pPr>
              <w:pStyle w:val="Listeafsnit"/>
              <w:numPr>
                <w:ilvl w:val="0"/>
                <w:numId w:val="25"/>
              </w:numPr>
              <w:spacing w:line="240" w:lineRule="auto"/>
              <w:rPr>
                <w:rFonts w:ascii="Calibri" w:eastAsia="Calibri" w:hAnsi="Calibri" w:cs="Times New Roman"/>
                <w:lang w:val="en-US"/>
              </w:rPr>
            </w:pPr>
            <w:r w:rsidRPr="00890DEA">
              <w:rPr>
                <w:rFonts w:ascii="Calibri" w:eastAsia="Calibri" w:hAnsi="Calibri" w:cs="Times New Roman"/>
                <w:lang w:val="en-US"/>
              </w:rPr>
              <w:t>Marital status (married/living together as married or living alone)</w:t>
            </w:r>
          </w:p>
          <w:p w14:paraId="405F4AC1" w14:textId="77777777" w:rsidR="00CA6F06" w:rsidRPr="00B37180" w:rsidRDefault="00CA6F06" w:rsidP="00CA6F06">
            <w:pPr>
              <w:pStyle w:val="Listeafsnit"/>
              <w:numPr>
                <w:ilvl w:val="0"/>
                <w:numId w:val="25"/>
              </w:numPr>
              <w:spacing w:line="240" w:lineRule="auto"/>
              <w:rPr>
                <w:rFonts w:ascii="Calibri" w:eastAsia="Calibri" w:hAnsi="Calibri" w:cs="Times New Roman"/>
              </w:rPr>
            </w:pPr>
            <w:r>
              <w:rPr>
                <w:rFonts w:ascii="Calibri" w:eastAsia="Calibri" w:hAnsi="Calibri" w:cs="Times New Roman"/>
              </w:rPr>
              <w:t>Current place of residence</w:t>
            </w:r>
          </w:p>
          <w:p w14:paraId="22C3ADCC"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Home</w:t>
            </w:r>
          </w:p>
          <w:p w14:paraId="47EF433A"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Hospital</w:t>
            </w:r>
          </w:p>
          <w:p w14:paraId="40F2D2ED"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Rehabilitation centre</w:t>
            </w:r>
          </w:p>
          <w:p w14:paraId="3E92932F"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Nursing home</w:t>
            </w:r>
          </w:p>
          <w:p w14:paraId="182537AF" w14:textId="77777777" w:rsidR="00CA6F06"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Other</w:t>
            </w:r>
          </w:p>
          <w:p w14:paraId="66D60498" w14:textId="77777777" w:rsidR="00CA6F06" w:rsidRPr="00890DEA" w:rsidRDefault="00CA6F06" w:rsidP="00CA6F06">
            <w:pPr>
              <w:pStyle w:val="Listeafsnit"/>
              <w:numPr>
                <w:ilvl w:val="0"/>
                <w:numId w:val="25"/>
              </w:numPr>
              <w:spacing w:line="240" w:lineRule="auto"/>
              <w:rPr>
                <w:rFonts w:ascii="Calibri" w:eastAsia="Calibri" w:hAnsi="Calibri" w:cs="Times New Roman"/>
                <w:lang w:val="en-US"/>
              </w:rPr>
            </w:pPr>
            <w:r w:rsidRPr="00890DEA">
              <w:rPr>
                <w:rFonts w:ascii="Calibri" w:eastAsia="Calibri" w:hAnsi="Calibri" w:cs="Times New Roman"/>
                <w:lang w:val="en-US"/>
              </w:rPr>
              <w:t>Occupational status before the episode of sepsis</w:t>
            </w:r>
          </w:p>
          <w:p w14:paraId="3B7B3B1F"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Working full-time</w:t>
            </w:r>
          </w:p>
          <w:p w14:paraId="0197F06D"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Working part-time</w:t>
            </w:r>
          </w:p>
          <w:p w14:paraId="3CEF491C"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Unemployed</w:t>
            </w:r>
          </w:p>
          <w:p w14:paraId="42D483E6"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Retired due to age</w:t>
            </w:r>
          </w:p>
          <w:p w14:paraId="6DD4F3DB" w14:textId="77777777" w:rsidR="00CA6F06" w:rsidRPr="00890DEA" w:rsidRDefault="00CA6F06" w:rsidP="00CA6F06">
            <w:pPr>
              <w:pStyle w:val="Listeafsnit"/>
              <w:numPr>
                <w:ilvl w:val="0"/>
                <w:numId w:val="25"/>
              </w:numPr>
              <w:spacing w:line="240" w:lineRule="auto"/>
              <w:ind w:left="1170"/>
              <w:rPr>
                <w:rFonts w:ascii="Calibri" w:eastAsia="Calibri" w:hAnsi="Calibri" w:cs="Times New Roman"/>
                <w:lang w:val="en-US"/>
              </w:rPr>
            </w:pPr>
            <w:r w:rsidRPr="00890DEA">
              <w:rPr>
                <w:rFonts w:ascii="Calibri" w:eastAsia="Calibri" w:hAnsi="Calibri" w:cs="Times New Roman"/>
                <w:lang w:val="en-US"/>
              </w:rPr>
              <w:t>Retired due to disability / health problems</w:t>
            </w:r>
          </w:p>
          <w:p w14:paraId="1D9C0894"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On sick leave</w:t>
            </w:r>
          </w:p>
          <w:p w14:paraId="0601DE86" w14:textId="77777777" w:rsidR="00CA6F06" w:rsidRPr="00890DEA" w:rsidRDefault="00CA6F06" w:rsidP="00CA6F06">
            <w:pPr>
              <w:pStyle w:val="Listeafsnit"/>
              <w:numPr>
                <w:ilvl w:val="0"/>
                <w:numId w:val="25"/>
              </w:numPr>
              <w:spacing w:line="240" w:lineRule="auto"/>
              <w:ind w:left="1170"/>
              <w:rPr>
                <w:rFonts w:ascii="Calibri" w:eastAsia="Calibri" w:hAnsi="Calibri" w:cs="Times New Roman"/>
                <w:lang w:val="en-US"/>
              </w:rPr>
            </w:pPr>
            <w:r w:rsidRPr="00890DEA">
              <w:rPr>
                <w:rFonts w:ascii="Calibri" w:eastAsia="Calibri" w:hAnsi="Calibri" w:cs="Times New Roman"/>
                <w:lang w:val="en-US"/>
              </w:rPr>
              <w:t>Other (e.g. student, housewife)</w:t>
            </w:r>
          </w:p>
          <w:p w14:paraId="10C27C78" w14:textId="77777777" w:rsidR="00CA6F06" w:rsidRPr="004A25B7" w:rsidRDefault="00CA6F06" w:rsidP="00CA6F06">
            <w:pPr>
              <w:pStyle w:val="Listeafsnit"/>
              <w:numPr>
                <w:ilvl w:val="0"/>
                <w:numId w:val="25"/>
              </w:numPr>
              <w:spacing w:line="240" w:lineRule="auto"/>
              <w:rPr>
                <w:rFonts w:ascii="Calibri" w:eastAsia="Calibri" w:hAnsi="Calibri" w:cs="Times New Roman"/>
                <w:lang w:val="en-US"/>
              </w:rPr>
            </w:pPr>
            <w:r w:rsidRPr="004A25B7">
              <w:rPr>
                <w:rFonts w:ascii="Calibri" w:eastAsia="Calibri" w:hAnsi="Calibri" w:cs="Times New Roman"/>
                <w:lang w:val="en-US"/>
              </w:rPr>
              <w:lastRenderedPageBreak/>
              <w:t>Occupational status at the time of the follow-up</w:t>
            </w:r>
          </w:p>
          <w:p w14:paraId="102DCD81"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Working full-time</w:t>
            </w:r>
          </w:p>
          <w:p w14:paraId="48319366"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Working part-time</w:t>
            </w:r>
          </w:p>
          <w:p w14:paraId="30F0791C"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Unemployed</w:t>
            </w:r>
          </w:p>
          <w:p w14:paraId="146304D6" w14:textId="77777777" w:rsidR="00CA6F06" w:rsidRPr="00B37180"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Retired due to age</w:t>
            </w:r>
          </w:p>
          <w:p w14:paraId="35BD3B2B" w14:textId="77777777" w:rsidR="00CA6F06" w:rsidRPr="004A25B7" w:rsidRDefault="00CA6F06" w:rsidP="00CA6F06">
            <w:pPr>
              <w:pStyle w:val="Listeafsnit"/>
              <w:numPr>
                <w:ilvl w:val="0"/>
                <w:numId w:val="25"/>
              </w:numPr>
              <w:spacing w:line="240" w:lineRule="auto"/>
              <w:ind w:left="1170"/>
              <w:rPr>
                <w:rFonts w:ascii="Calibri" w:eastAsia="Calibri" w:hAnsi="Calibri" w:cs="Times New Roman"/>
                <w:lang w:val="en-US"/>
              </w:rPr>
            </w:pPr>
            <w:r w:rsidRPr="004A25B7">
              <w:rPr>
                <w:rFonts w:ascii="Calibri" w:eastAsia="Calibri" w:hAnsi="Calibri" w:cs="Times New Roman"/>
                <w:lang w:val="en-US"/>
              </w:rPr>
              <w:t>Retired due to disability / health problems</w:t>
            </w:r>
          </w:p>
          <w:p w14:paraId="3793A7A7" w14:textId="77777777" w:rsidR="00CA6F06" w:rsidRDefault="00CA6F06" w:rsidP="00CA6F06">
            <w:pPr>
              <w:pStyle w:val="Listeafsnit"/>
              <w:numPr>
                <w:ilvl w:val="0"/>
                <w:numId w:val="25"/>
              </w:numPr>
              <w:spacing w:line="240" w:lineRule="auto"/>
              <w:ind w:left="1170"/>
              <w:rPr>
                <w:rFonts w:ascii="Calibri" w:eastAsia="Calibri" w:hAnsi="Calibri" w:cs="Times New Roman"/>
              </w:rPr>
            </w:pPr>
            <w:r w:rsidRPr="00B37180">
              <w:rPr>
                <w:rFonts w:ascii="Calibri" w:eastAsia="Calibri" w:hAnsi="Calibri" w:cs="Times New Roman"/>
              </w:rPr>
              <w:t>On sick leave</w:t>
            </w:r>
          </w:p>
          <w:p w14:paraId="36939300" w14:textId="77777777" w:rsidR="00CA6F06" w:rsidRPr="00890DEA" w:rsidRDefault="00CA6F06" w:rsidP="00CA6F06">
            <w:pPr>
              <w:pStyle w:val="Listeafsnit"/>
              <w:numPr>
                <w:ilvl w:val="0"/>
                <w:numId w:val="25"/>
              </w:numPr>
              <w:spacing w:line="240" w:lineRule="auto"/>
              <w:ind w:left="1170"/>
              <w:rPr>
                <w:rFonts w:ascii="Calibri" w:eastAsia="Calibri" w:hAnsi="Calibri" w:cs="Times New Roman"/>
                <w:lang w:val="en-US"/>
              </w:rPr>
            </w:pPr>
            <w:r w:rsidRPr="00890DEA">
              <w:rPr>
                <w:rFonts w:ascii="Calibri" w:eastAsia="Calibri" w:hAnsi="Calibri" w:cs="Times New Roman"/>
                <w:lang w:val="en-US"/>
              </w:rPr>
              <w:t>Other (e.g. student, housewife)</w:t>
            </w:r>
          </w:p>
          <w:p w14:paraId="567B3EF7" w14:textId="77777777" w:rsidR="00CA6F06" w:rsidRPr="00890DEA" w:rsidRDefault="00CA6F06" w:rsidP="00CA6F06">
            <w:pPr>
              <w:pStyle w:val="Listeafsnit"/>
              <w:numPr>
                <w:ilvl w:val="0"/>
                <w:numId w:val="25"/>
              </w:numPr>
              <w:spacing w:line="240" w:lineRule="auto"/>
              <w:ind w:left="745"/>
              <w:rPr>
                <w:rFonts w:ascii="Calibri" w:eastAsia="Calibri" w:hAnsi="Calibri" w:cs="Times New Roman"/>
                <w:lang w:val="en-US"/>
              </w:rPr>
            </w:pPr>
            <w:r w:rsidRPr="00890DEA">
              <w:rPr>
                <w:rFonts w:ascii="Calibri" w:eastAsia="Calibri" w:hAnsi="Calibri" w:cs="Times New Roman"/>
                <w:lang w:val="en-US"/>
              </w:rPr>
              <w:t>Date of return-to-work (if applicable)</w:t>
            </w:r>
          </w:p>
          <w:p w14:paraId="512B6D02" w14:textId="77777777" w:rsidR="00CA6F06" w:rsidRPr="00890DEA" w:rsidRDefault="00CA6F06" w:rsidP="00CA6F06">
            <w:pPr>
              <w:pStyle w:val="Listeafsnit"/>
              <w:numPr>
                <w:ilvl w:val="0"/>
                <w:numId w:val="25"/>
              </w:numPr>
              <w:spacing w:line="240" w:lineRule="auto"/>
              <w:rPr>
                <w:rFonts w:ascii="Calibri" w:eastAsia="Calibri" w:hAnsi="Calibri" w:cs="Times New Roman"/>
                <w:lang w:val="en-US"/>
              </w:rPr>
            </w:pPr>
            <w:r w:rsidRPr="00890DEA">
              <w:rPr>
                <w:rFonts w:ascii="Calibri" w:eastAsia="Calibri" w:hAnsi="Calibri" w:cs="Times New Roman"/>
                <w:lang w:val="en-US"/>
              </w:rPr>
              <w:t>Rehabilitation after the episode of sepsis</w:t>
            </w:r>
          </w:p>
          <w:p w14:paraId="0A01D96B" w14:textId="77777777" w:rsidR="00CA6F06" w:rsidRPr="00853C2E" w:rsidRDefault="00CA6F06" w:rsidP="00CA6F06">
            <w:pPr>
              <w:pStyle w:val="Listeafsnit"/>
              <w:numPr>
                <w:ilvl w:val="0"/>
                <w:numId w:val="25"/>
              </w:numPr>
              <w:spacing w:line="240" w:lineRule="auto"/>
              <w:ind w:left="1170"/>
              <w:rPr>
                <w:rFonts w:ascii="Calibri" w:eastAsia="Calibri" w:hAnsi="Calibri" w:cs="Times New Roman"/>
              </w:rPr>
            </w:pPr>
            <w:r w:rsidRPr="00853C2E">
              <w:rPr>
                <w:rFonts w:ascii="Calibri" w:eastAsia="Calibri" w:hAnsi="Calibri" w:cs="Times New Roman"/>
              </w:rPr>
              <w:t>No</w:t>
            </w:r>
            <w:r>
              <w:rPr>
                <w:rFonts w:ascii="Calibri" w:eastAsia="Calibri" w:hAnsi="Calibri" w:cs="Times New Roman"/>
              </w:rPr>
              <w:t>ne</w:t>
            </w:r>
          </w:p>
          <w:p w14:paraId="03FEA2BC" w14:textId="77777777" w:rsidR="00CA6F06" w:rsidRPr="00853C2E" w:rsidRDefault="00CA6F06" w:rsidP="00CA6F06">
            <w:pPr>
              <w:pStyle w:val="Listeafsnit"/>
              <w:numPr>
                <w:ilvl w:val="0"/>
                <w:numId w:val="25"/>
              </w:numPr>
              <w:spacing w:line="240" w:lineRule="auto"/>
              <w:ind w:left="1170"/>
              <w:rPr>
                <w:rFonts w:ascii="Calibri" w:eastAsia="Calibri" w:hAnsi="Calibri" w:cs="Times New Roman"/>
              </w:rPr>
            </w:pPr>
            <w:r w:rsidRPr="00853C2E">
              <w:rPr>
                <w:rFonts w:ascii="Calibri" w:eastAsia="Calibri" w:hAnsi="Calibri" w:cs="Times New Roman"/>
              </w:rPr>
              <w:t>Inpatient rehabilitation</w:t>
            </w:r>
          </w:p>
          <w:p w14:paraId="5AB5B700" w14:textId="77777777" w:rsidR="00CA6F06" w:rsidRPr="00853C2E" w:rsidRDefault="00CA6F06" w:rsidP="00CA6F06">
            <w:pPr>
              <w:pStyle w:val="Listeafsnit"/>
              <w:numPr>
                <w:ilvl w:val="0"/>
                <w:numId w:val="25"/>
              </w:numPr>
              <w:spacing w:line="240" w:lineRule="auto"/>
              <w:ind w:left="1170"/>
              <w:rPr>
                <w:rFonts w:ascii="Calibri" w:eastAsia="Calibri" w:hAnsi="Calibri" w:cs="Times New Roman"/>
              </w:rPr>
            </w:pPr>
            <w:r w:rsidRPr="00853C2E">
              <w:rPr>
                <w:rFonts w:ascii="Calibri" w:eastAsia="Calibri" w:hAnsi="Calibri" w:cs="Times New Roman"/>
              </w:rPr>
              <w:t>Outpatient rehabilitation</w:t>
            </w:r>
          </w:p>
          <w:p w14:paraId="083A5764" w14:textId="77777777" w:rsidR="00CA6F06" w:rsidRPr="00853C2E" w:rsidRDefault="00CA6F06" w:rsidP="00CA6F06">
            <w:pPr>
              <w:pStyle w:val="Listeafsnit"/>
              <w:numPr>
                <w:ilvl w:val="0"/>
                <w:numId w:val="25"/>
              </w:numPr>
              <w:spacing w:line="240" w:lineRule="auto"/>
              <w:ind w:left="1170"/>
              <w:rPr>
                <w:rFonts w:ascii="Calibri" w:eastAsia="Calibri" w:hAnsi="Calibri" w:cs="Times New Roman"/>
              </w:rPr>
            </w:pPr>
            <w:r w:rsidRPr="00853C2E">
              <w:rPr>
                <w:rFonts w:ascii="Calibri" w:eastAsia="Calibri" w:hAnsi="Calibri" w:cs="Times New Roman"/>
              </w:rPr>
              <w:t>Home-based rehabilitation (community)</w:t>
            </w:r>
          </w:p>
          <w:p w14:paraId="41374961" w14:textId="77777777" w:rsidR="00CA6F06" w:rsidRPr="00853C2E" w:rsidRDefault="00CA6F06" w:rsidP="00CA6F06">
            <w:pPr>
              <w:pStyle w:val="Listeafsnit"/>
              <w:numPr>
                <w:ilvl w:val="0"/>
                <w:numId w:val="25"/>
              </w:numPr>
              <w:spacing w:line="240" w:lineRule="auto"/>
              <w:ind w:left="1170"/>
              <w:rPr>
                <w:rFonts w:ascii="Calibri" w:eastAsia="Calibri" w:hAnsi="Calibri" w:cs="Times New Roman"/>
              </w:rPr>
            </w:pPr>
            <w:r w:rsidRPr="00853C2E">
              <w:rPr>
                <w:rFonts w:ascii="Calibri" w:eastAsia="Calibri" w:hAnsi="Calibri" w:cs="Times New Roman"/>
              </w:rPr>
              <w:t>Physiotherapist only</w:t>
            </w:r>
          </w:p>
          <w:p w14:paraId="0106F4F8" w14:textId="77777777" w:rsidR="00CA6F06" w:rsidRPr="00853C2E" w:rsidRDefault="00CA6F06" w:rsidP="00CA6F06">
            <w:pPr>
              <w:pStyle w:val="Listeafsnit"/>
              <w:numPr>
                <w:ilvl w:val="0"/>
                <w:numId w:val="25"/>
              </w:numPr>
              <w:spacing w:line="240" w:lineRule="auto"/>
              <w:ind w:left="1170"/>
              <w:rPr>
                <w:rFonts w:ascii="Calibri" w:eastAsia="Calibri" w:hAnsi="Calibri" w:cs="Times New Roman"/>
              </w:rPr>
            </w:pPr>
            <w:r w:rsidRPr="00853C2E">
              <w:rPr>
                <w:rFonts w:ascii="Calibri" w:eastAsia="Calibri" w:hAnsi="Calibri" w:cs="Times New Roman"/>
              </w:rPr>
              <w:t>Occupational therapist only</w:t>
            </w:r>
          </w:p>
          <w:p w14:paraId="02F082B3" w14:textId="77777777" w:rsidR="00CA6F06" w:rsidRPr="00890DEA" w:rsidRDefault="00CA6F06" w:rsidP="00CA6F06">
            <w:pPr>
              <w:pStyle w:val="Listeafsnit"/>
              <w:numPr>
                <w:ilvl w:val="0"/>
                <w:numId w:val="25"/>
              </w:numPr>
              <w:spacing w:line="240" w:lineRule="auto"/>
              <w:ind w:left="1170"/>
              <w:rPr>
                <w:rFonts w:ascii="Calibri" w:eastAsia="Calibri" w:hAnsi="Calibri" w:cs="Times New Roman"/>
                <w:lang w:val="en-US"/>
              </w:rPr>
            </w:pPr>
            <w:r w:rsidRPr="00890DEA">
              <w:rPr>
                <w:rFonts w:ascii="Calibri" w:eastAsia="Calibri" w:hAnsi="Calibri" w:cs="Times New Roman"/>
                <w:lang w:val="en-US"/>
              </w:rPr>
              <w:t>Counselling (by e.g. social worker or psychologist)</w:t>
            </w:r>
          </w:p>
          <w:p w14:paraId="5FD2ADC5" w14:textId="77777777" w:rsidR="00CA6F06" w:rsidRPr="00853C2E" w:rsidRDefault="00CA6F06" w:rsidP="00CA6F06">
            <w:pPr>
              <w:pStyle w:val="Listeafsnit"/>
              <w:numPr>
                <w:ilvl w:val="0"/>
                <w:numId w:val="25"/>
              </w:numPr>
              <w:spacing w:line="240" w:lineRule="auto"/>
              <w:ind w:left="1170"/>
              <w:rPr>
                <w:rFonts w:ascii="Calibri" w:eastAsia="Calibri" w:hAnsi="Calibri" w:cs="Times New Roman"/>
              </w:rPr>
            </w:pPr>
            <w:r w:rsidRPr="00853C2E">
              <w:rPr>
                <w:rFonts w:ascii="Calibri" w:eastAsia="Calibri" w:hAnsi="Calibri" w:cs="Times New Roman"/>
              </w:rPr>
              <w:t>Cognitive Behavioural Therapy</w:t>
            </w:r>
          </w:p>
          <w:p w14:paraId="3061525E" w14:textId="77777777" w:rsidR="00CA6F06" w:rsidRPr="00853C2E" w:rsidRDefault="00CA6F06" w:rsidP="00CA6F06">
            <w:pPr>
              <w:pStyle w:val="Listeafsnit"/>
              <w:numPr>
                <w:ilvl w:val="0"/>
                <w:numId w:val="25"/>
              </w:numPr>
              <w:spacing w:line="240" w:lineRule="auto"/>
              <w:ind w:left="1170"/>
              <w:rPr>
                <w:rFonts w:ascii="Calibri" w:eastAsia="Calibri" w:hAnsi="Calibri" w:cs="Times New Roman"/>
              </w:rPr>
            </w:pPr>
            <w:r w:rsidRPr="00853C2E">
              <w:rPr>
                <w:rFonts w:ascii="Calibri" w:eastAsia="Calibri" w:hAnsi="Calibri" w:cs="Times New Roman"/>
              </w:rPr>
              <w:t>Other</w:t>
            </w:r>
          </w:p>
        </w:tc>
      </w:tr>
      <w:tr w:rsidR="00CA6F06" w:rsidRPr="00EB2848" w14:paraId="043AAEF8" w14:textId="77777777" w:rsidTr="00EB2848">
        <w:tc>
          <w:tcPr>
            <w:tcW w:w="2828" w:type="dxa"/>
            <w:vMerge/>
            <w:tcBorders>
              <w:left w:val="single" w:sz="4" w:space="0" w:color="auto"/>
              <w:right w:val="single" w:sz="4" w:space="0" w:color="auto"/>
            </w:tcBorders>
          </w:tcPr>
          <w:p w14:paraId="7543E948" w14:textId="77777777" w:rsidR="00CA6F06" w:rsidRDefault="00CA6F06" w:rsidP="00EB2848">
            <w:pPr>
              <w:rPr>
                <w:rFonts w:ascii="Calibri" w:eastAsia="Calibri" w:hAnsi="Calibri" w:cs="Times New Roman"/>
              </w:rPr>
            </w:pPr>
          </w:p>
        </w:tc>
        <w:tc>
          <w:tcPr>
            <w:tcW w:w="6335" w:type="dxa"/>
            <w:tcBorders>
              <w:left w:val="single" w:sz="4" w:space="0" w:color="auto"/>
            </w:tcBorders>
          </w:tcPr>
          <w:p w14:paraId="49595C67" w14:textId="77777777" w:rsidR="00CA6F06" w:rsidRPr="004A25B7" w:rsidRDefault="00CA6F06" w:rsidP="00EB2848">
            <w:pPr>
              <w:rPr>
                <w:rFonts w:ascii="Calibri" w:eastAsia="Calibri" w:hAnsi="Calibri" w:cs="Times New Roman"/>
                <w:lang w:val="en-US"/>
              </w:rPr>
            </w:pPr>
            <w:r w:rsidRPr="004A25B7">
              <w:rPr>
                <w:rFonts w:ascii="Calibri" w:eastAsia="Calibri" w:hAnsi="Calibri" w:cs="Times New Roman"/>
                <w:lang w:val="en-US"/>
              </w:rPr>
              <w:t>Glasgow Outcome Scale Extended (GOSE) modified for use after Sepsis</w:t>
            </w:r>
          </w:p>
        </w:tc>
      </w:tr>
      <w:tr w:rsidR="00CA6F06" w:rsidRPr="00EB2848" w14:paraId="314A04DC" w14:textId="77777777" w:rsidTr="00EB2848">
        <w:tc>
          <w:tcPr>
            <w:tcW w:w="2828" w:type="dxa"/>
            <w:vMerge/>
            <w:tcBorders>
              <w:left w:val="single" w:sz="4" w:space="0" w:color="auto"/>
              <w:bottom w:val="single" w:sz="4" w:space="0" w:color="auto"/>
              <w:right w:val="single" w:sz="4" w:space="0" w:color="auto"/>
            </w:tcBorders>
          </w:tcPr>
          <w:p w14:paraId="5A570183" w14:textId="77777777" w:rsidR="00CA6F06" w:rsidRPr="004A25B7" w:rsidRDefault="00CA6F06" w:rsidP="00EB2848">
            <w:pPr>
              <w:rPr>
                <w:rFonts w:ascii="Calibri" w:eastAsia="Calibri" w:hAnsi="Calibri" w:cs="Times New Roman"/>
                <w:lang w:val="en-US"/>
              </w:rPr>
            </w:pPr>
          </w:p>
        </w:tc>
        <w:tc>
          <w:tcPr>
            <w:tcW w:w="6335" w:type="dxa"/>
            <w:tcBorders>
              <w:left w:val="single" w:sz="4" w:space="0" w:color="auto"/>
            </w:tcBorders>
          </w:tcPr>
          <w:p w14:paraId="56E1D8E1" w14:textId="77777777" w:rsidR="00CA6F06" w:rsidRPr="004A25B7" w:rsidRDefault="00CA6F06" w:rsidP="00EB2848">
            <w:pPr>
              <w:rPr>
                <w:rFonts w:ascii="Calibri" w:eastAsia="Calibri" w:hAnsi="Calibri" w:cs="Times New Roman"/>
                <w:lang w:val="en-US"/>
              </w:rPr>
            </w:pPr>
            <w:r w:rsidRPr="004A25B7">
              <w:rPr>
                <w:rFonts w:ascii="Calibri" w:eastAsia="Calibri" w:hAnsi="Calibri" w:cs="Times New Roman"/>
                <w:lang w:val="en-US"/>
              </w:rPr>
              <w:t>Montreal Cognitive Assessment (MoCA) (face-to-face /digital /telephone)</w:t>
            </w:r>
          </w:p>
        </w:tc>
      </w:tr>
    </w:tbl>
    <w:p w14:paraId="4028D1CF" w14:textId="77777777" w:rsidR="00902073" w:rsidRPr="00CA6F06" w:rsidRDefault="00902073" w:rsidP="00902073">
      <w:pPr>
        <w:rPr>
          <w:lang w:val="en-US"/>
        </w:rPr>
      </w:pPr>
    </w:p>
    <w:p w14:paraId="11B01D8D" w14:textId="77777777" w:rsidR="005A0A1D" w:rsidRPr="004A25B7" w:rsidRDefault="005A0A1D" w:rsidP="004A25B7">
      <w:pPr>
        <w:keepNext/>
        <w:keepLines/>
        <w:spacing w:before="240"/>
        <w:outlineLvl w:val="0"/>
        <w:rPr>
          <w:lang w:val="en-US"/>
        </w:rPr>
      </w:pPr>
    </w:p>
    <w:sectPr w:rsidR="005A0A1D" w:rsidRPr="004A25B7" w:rsidSect="00757CC5">
      <w:headerReference w:type="even" r:id="rId8"/>
      <w:headerReference w:type="default" r:id="rId9"/>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5733" w14:textId="77777777" w:rsidR="00271CB0" w:rsidRDefault="00271CB0" w:rsidP="007D6183">
      <w:r>
        <w:separator/>
      </w:r>
    </w:p>
  </w:endnote>
  <w:endnote w:type="continuationSeparator" w:id="0">
    <w:p w14:paraId="644FEE39" w14:textId="77777777" w:rsidR="00271CB0" w:rsidRDefault="00271CB0" w:rsidP="007D6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TdkdrpAdvTT99c4c969">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459C2" w14:textId="77777777" w:rsidR="00271CB0" w:rsidRDefault="00271CB0" w:rsidP="007D6183">
      <w:r>
        <w:separator/>
      </w:r>
    </w:p>
  </w:footnote>
  <w:footnote w:type="continuationSeparator" w:id="0">
    <w:p w14:paraId="0418B564" w14:textId="77777777" w:rsidR="00271CB0" w:rsidRDefault="00271CB0" w:rsidP="007D6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8E42" w14:textId="77777777" w:rsidR="00EB2848" w:rsidRDefault="00EB2848" w:rsidP="00BA6A35">
    <w:pPr>
      <w:pStyle w:val="Sidehoved"/>
      <w:framePr w:wrap="none" w:vAnchor="text" w:hAnchor="margin" w:xAlign="right" w:y="1"/>
      <w:rPr>
        <w:rStyle w:val="Sidetal"/>
      </w:rPr>
    </w:pPr>
    <w:r>
      <w:rPr>
        <w:rStyle w:val="Sidetal"/>
      </w:rPr>
      <w:fldChar w:fldCharType="begin"/>
    </w:r>
    <w:r>
      <w:rPr>
        <w:rStyle w:val="Sidetal"/>
      </w:rPr>
      <w:instrText xml:space="preserve">PAGE  </w:instrText>
    </w:r>
    <w:r>
      <w:rPr>
        <w:rStyle w:val="Sidetal"/>
      </w:rPr>
      <w:fldChar w:fldCharType="end"/>
    </w:r>
  </w:p>
  <w:p w14:paraId="5967B856" w14:textId="77777777" w:rsidR="00EB2848" w:rsidRDefault="00EB2848" w:rsidP="007D6183">
    <w:pPr>
      <w:pStyle w:val="Sidehoved"/>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EA6E" w14:textId="77777777" w:rsidR="00EB2848" w:rsidRDefault="00EB2848" w:rsidP="00BA6A35">
    <w:pPr>
      <w:pStyle w:val="Sidehoved"/>
      <w:framePr w:wrap="none" w:vAnchor="text" w:hAnchor="margin" w:xAlign="right" w:y="1"/>
      <w:rPr>
        <w:rStyle w:val="Sidetal"/>
      </w:rPr>
    </w:pPr>
    <w:r>
      <w:rPr>
        <w:rStyle w:val="Sidetal"/>
      </w:rPr>
      <w:fldChar w:fldCharType="begin"/>
    </w:r>
    <w:r>
      <w:rPr>
        <w:rStyle w:val="Sidetal"/>
      </w:rPr>
      <w:instrText xml:space="preserve">PAGE  </w:instrText>
    </w:r>
    <w:r>
      <w:rPr>
        <w:rStyle w:val="Sidetal"/>
      </w:rPr>
      <w:fldChar w:fldCharType="separate"/>
    </w:r>
    <w:r w:rsidR="0074120F">
      <w:rPr>
        <w:rStyle w:val="Sidetal"/>
        <w:noProof/>
      </w:rPr>
      <w:t>14</w:t>
    </w:r>
    <w:r>
      <w:rPr>
        <w:rStyle w:val="Sidetal"/>
      </w:rPr>
      <w:fldChar w:fldCharType="end"/>
    </w:r>
  </w:p>
  <w:p w14:paraId="2975019A" w14:textId="770A7C73" w:rsidR="00EB2848" w:rsidRPr="006921A9" w:rsidRDefault="00EB2848" w:rsidP="00210848">
    <w:pPr>
      <w:pStyle w:val="Sidehoved"/>
      <w:ind w:right="360"/>
      <w:rPr>
        <w:lang w:val="en-GB"/>
      </w:rPr>
    </w:pPr>
    <w:r>
      <w:rPr>
        <w:noProof/>
        <w:lang w:eastAsia="sv-SE"/>
      </w:rPr>
      <w:drawing>
        <wp:inline distT="0" distB="0" distL="0" distR="0" wp14:anchorId="2009440F" wp14:editId="72B458F3">
          <wp:extent cx="409203" cy="343007"/>
          <wp:effectExtent l="0" t="0" r="0" b="0"/>
          <wp:docPr id="5" name="Bildobjekt 5" descr="../../Logga/wetransfer_har-har-du-dem-med-text_2021-08-16_1550/reduse%20logo%20nmr%2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ga/wetransfer_har-har-du-dem-med-text_2021-08-16_1550/reduse%20logo%20nmr%201,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3277" cy="354804"/>
                  </a:xfrm>
                  <a:prstGeom prst="rect">
                    <a:avLst/>
                  </a:prstGeom>
                  <a:noFill/>
                  <a:ln>
                    <a:noFill/>
                  </a:ln>
                </pic:spPr>
              </pic:pic>
            </a:graphicData>
          </a:graphic>
        </wp:inline>
      </w:drawing>
    </w:r>
    <w:r>
      <w:rPr>
        <w:lang w:val="en-GB"/>
      </w:rPr>
      <w:t xml:space="preserve">     Version 1.0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04C5"/>
    <w:multiLevelType w:val="hybridMultilevel"/>
    <w:tmpl w:val="4A423CFE"/>
    <w:lvl w:ilvl="0" w:tplc="041D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B1F5A4B"/>
    <w:multiLevelType w:val="hybridMultilevel"/>
    <w:tmpl w:val="8902719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112B4649"/>
    <w:multiLevelType w:val="multilevel"/>
    <w:tmpl w:val="42EEF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8024EA"/>
    <w:multiLevelType w:val="hybridMultilevel"/>
    <w:tmpl w:val="A9362FF0"/>
    <w:lvl w:ilvl="0" w:tplc="041D0001">
      <w:start w:val="1"/>
      <w:numFmt w:val="bullet"/>
      <w:lvlText w:val=""/>
      <w:lvlJc w:val="left"/>
      <w:pPr>
        <w:ind w:left="720" w:hanging="360"/>
      </w:pPr>
      <w:rPr>
        <w:rFonts w:ascii="Symbol" w:hAnsi="Symbol" w:hint="default"/>
      </w:rPr>
    </w:lvl>
    <w:lvl w:ilvl="1" w:tplc="E33881E0">
      <w:numFmt w:val="bullet"/>
      <w:lvlText w:val="-"/>
      <w:lvlJc w:val="left"/>
      <w:pPr>
        <w:ind w:left="1440" w:hanging="360"/>
      </w:pPr>
      <w:rPr>
        <w:rFonts w:ascii="Calibri" w:eastAsiaTheme="minorHAnsi"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96451B"/>
    <w:multiLevelType w:val="hybridMultilevel"/>
    <w:tmpl w:val="91EEED78"/>
    <w:lvl w:ilvl="0" w:tplc="84B241D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1E63E3E"/>
    <w:multiLevelType w:val="hybridMultilevel"/>
    <w:tmpl w:val="2580FBD4"/>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27D9798F"/>
    <w:multiLevelType w:val="hybridMultilevel"/>
    <w:tmpl w:val="35822924"/>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BBA33E7"/>
    <w:multiLevelType w:val="hybridMultilevel"/>
    <w:tmpl w:val="CDE8F8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2E5C315D"/>
    <w:multiLevelType w:val="hybridMultilevel"/>
    <w:tmpl w:val="0F6E6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A060DA"/>
    <w:multiLevelType w:val="hybridMultilevel"/>
    <w:tmpl w:val="D130A696"/>
    <w:lvl w:ilvl="0" w:tplc="041D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0E1618D"/>
    <w:multiLevelType w:val="hybridMultilevel"/>
    <w:tmpl w:val="499A122C"/>
    <w:lvl w:ilvl="0" w:tplc="041D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181808"/>
    <w:multiLevelType w:val="hybridMultilevel"/>
    <w:tmpl w:val="6200FFFA"/>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3260499C"/>
    <w:multiLevelType w:val="hybridMultilevel"/>
    <w:tmpl w:val="4158476C"/>
    <w:lvl w:ilvl="0" w:tplc="84B241D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DFE6E23"/>
    <w:multiLevelType w:val="hybridMultilevel"/>
    <w:tmpl w:val="E624779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407924BA"/>
    <w:multiLevelType w:val="hybridMultilevel"/>
    <w:tmpl w:val="767C040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40E41E9B"/>
    <w:multiLevelType w:val="hybridMultilevel"/>
    <w:tmpl w:val="CD966B7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4336337B"/>
    <w:multiLevelType w:val="hybridMultilevel"/>
    <w:tmpl w:val="7BC6D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FB791A"/>
    <w:multiLevelType w:val="hybridMultilevel"/>
    <w:tmpl w:val="499E8142"/>
    <w:lvl w:ilvl="0" w:tplc="041D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A064EA"/>
    <w:multiLevelType w:val="hybridMultilevel"/>
    <w:tmpl w:val="4800AE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7753635"/>
    <w:multiLevelType w:val="hybridMultilevel"/>
    <w:tmpl w:val="CF245700"/>
    <w:lvl w:ilvl="0" w:tplc="84B241DC">
      <w:numFmt w:val="bullet"/>
      <w:lvlText w:val="-"/>
      <w:lvlJc w:val="left"/>
      <w:pPr>
        <w:ind w:left="1125" w:hanging="360"/>
      </w:pPr>
      <w:rPr>
        <w:rFonts w:ascii="Calibri" w:eastAsiaTheme="minorHAnsi" w:hAnsi="Calibri" w:cs="Calibri" w:hint="default"/>
      </w:rPr>
    </w:lvl>
    <w:lvl w:ilvl="1" w:tplc="20000003" w:tentative="1">
      <w:start w:val="1"/>
      <w:numFmt w:val="bullet"/>
      <w:lvlText w:val="o"/>
      <w:lvlJc w:val="left"/>
      <w:pPr>
        <w:ind w:left="1845" w:hanging="360"/>
      </w:pPr>
      <w:rPr>
        <w:rFonts w:ascii="Courier New" w:hAnsi="Courier New" w:cs="Courier New" w:hint="default"/>
      </w:rPr>
    </w:lvl>
    <w:lvl w:ilvl="2" w:tplc="20000005" w:tentative="1">
      <w:start w:val="1"/>
      <w:numFmt w:val="bullet"/>
      <w:lvlText w:val=""/>
      <w:lvlJc w:val="left"/>
      <w:pPr>
        <w:ind w:left="2565" w:hanging="360"/>
      </w:pPr>
      <w:rPr>
        <w:rFonts w:ascii="Wingdings" w:hAnsi="Wingdings" w:hint="default"/>
      </w:rPr>
    </w:lvl>
    <w:lvl w:ilvl="3" w:tplc="20000001" w:tentative="1">
      <w:start w:val="1"/>
      <w:numFmt w:val="bullet"/>
      <w:lvlText w:val=""/>
      <w:lvlJc w:val="left"/>
      <w:pPr>
        <w:ind w:left="3285" w:hanging="360"/>
      </w:pPr>
      <w:rPr>
        <w:rFonts w:ascii="Symbol" w:hAnsi="Symbol" w:hint="default"/>
      </w:rPr>
    </w:lvl>
    <w:lvl w:ilvl="4" w:tplc="20000003" w:tentative="1">
      <w:start w:val="1"/>
      <w:numFmt w:val="bullet"/>
      <w:lvlText w:val="o"/>
      <w:lvlJc w:val="left"/>
      <w:pPr>
        <w:ind w:left="4005" w:hanging="360"/>
      </w:pPr>
      <w:rPr>
        <w:rFonts w:ascii="Courier New" w:hAnsi="Courier New" w:cs="Courier New" w:hint="default"/>
      </w:rPr>
    </w:lvl>
    <w:lvl w:ilvl="5" w:tplc="20000005" w:tentative="1">
      <w:start w:val="1"/>
      <w:numFmt w:val="bullet"/>
      <w:lvlText w:val=""/>
      <w:lvlJc w:val="left"/>
      <w:pPr>
        <w:ind w:left="4725" w:hanging="360"/>
      </w:pPr>
      <w:rPr>
        <w:rFonts w:ascii="Wingdings" w:hAnsi="Wingdings" w:hint="default"/>
      </w:rPr>
    </w:lvl>
    <w:lvl w:ilvl="6" w:tplc="20000001" w:tentative="1">
      <w:start w:val="1"/>
      <w:numFmt w:val="bullet"/>
      <w:lvlText w:val=""/>
      <w:lvlJc w:val="left"/>
      <w:pPr>
        <w:ind w:left="5445" w:hanging="360"/>
      </w:pPr>
      <w:rPr>
        <w:rFonts w:ascii="Symbol" w:hAnsi="Symbol" w:hint="default"/>
      </w:rPr>
    </w:lvl>
    <w:lvl w:ilvl="7" w:tplc="20000003" w:tentative="1">
      <w:start w:val="1"/>
      <w:numFmt w:val="bullet"/>
      <w:lvlText w:val="o"/>
      <w:lvlJc w:val="left"/>
      <w:pPr>
        <w:ind w:left="6165" w:hanging="360"/>
      </w:pPr>
      <w:rPr>
        <w:rFonts w:ascii="Courier New" w:hAnsi="Courier New" w:cs="Courier New" w:hint="default"/>
      </w:rPr>
    </w:lvl>
    <w:lvl w:ilvl="8" w:tplc="20000005" w:tentative="1">
      <w:start w:val="1"/>
      <w:numFmt w:val="bullet"/>
      <w:lvlText w:val=""/>
      <w:lvlJc w:val="left"/>
      <w:pPr>
        <w:ind w:left="6885" w:hanging="360"/>
      </w:pPr>
      <w:rPr>
        <w:rFonts w:ascii="Wingdings" w:hAnsi="Wingdings" w:hint="default"/>
      </w:rPr>
    </w:lvl>
  </w:abstractNum>
  <w:abstractNum w:abstractNumId="20" w15:restartNumberingAfterBreak="0">
    <w:nsid w:val="729221A4"/>
    <w:multiLevelType w:val="hybridMultilevel"/>
    <w:tmpl w:val="7EF63354"/>
    <w:lvl w:ilvl="0" w:tplc="84B241D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402BEC"/>
    <w:multiLevelType w:val="hybridMultilevel"/>
    <w:tmpl w:val="74AEBA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4647A6D"/>
    <w:multiLevelType w:val="hybridMultilevel"/>
    <w:tmpl w:val="86BE8B48"/>
    <w:lvl w:ilvl="0" w:tplc="5692AADE">
      <w:numFmt w:val="bullet"/>
      <w:lvlText w:val=""/>
      <w:lvlJc w:val="left"/>
      <w:pPr>
        <w:ind w:left="720" w:hanging="360"/>
      </w:pPr>
      <w:rPr>
        <w:rFonts w:ascii="Symbol" w:eastAsiaTheme="minorHAnsi" w:hAnsi="Symbol" w:cstheme="minorBidi" w:hint="default"/>
        <w:color w:val="000000" w:themeColor="tex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4A47978"/>
    <w:multiLevelType w:val="hybridMultilevel"/>
    <w:tmpl w:val="6C4ADFA2"/>
    <w:lvl w:ilvl="0" w:tplc="84B241D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BB35587"/>
    <w:multiLevelType w:val="hybridMultilevel"/>
    <w:tmpl w:val="E78437B8"/>
    <w:lvl w:ilvl="0" w:tplc="84B241D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E1E118C"/>
    <w:multiLevelType w:val="hybridMultilevel"/>
    <w:tmpl w:val="973E95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1"/>
  </w:num>
  <w:num w:numId="4">
    <w:abstractNumId w:val="18"/>
  </w:num>
  <w:num w:numId="5">
    <w:abstractNumId w:val="16"/>
  </w:num>
  <w:num w:numId="6">
    <w:abstractNumId w:val="8"/>
  </w:num>
  <w:num w:numId="7">
    <w:abstractNumId w:val="12"/>
  </w:num>
  <w:num w:numId="8">
    <w:abstractNumId w:val="11"/>
  </w:num>
  <w:num w:numId="9">
    <w:abstractNumId w:val="1"/>
  </w:num>
  <w:num w:numId="10">
    <w:abstractNumId w:val="5"/>
  </w:num>
  <w:num w:numId="11">
    <w:abstractNumId w:val="13"/>
  </w:num>
  <w:num w:numId="12">
    <w:abstractNumId w:val="15"/>
  </w:num>
  <w:num w:numId="13">
    <w:abstractNumId w:val="14"/>
  </w:num>
  <w:num w:numId="14">
    <w:abstractNumId w:val="7"/>
  </w:num>
  <w:num w:numId="15">
    <w:abstractNumId w:val="6"/>
  </w:num>
  <w:num w:numId="16">
    <w:abstractNumId w:val="22"/>
  </w:num>
  <w:num w:numId="17">
    <w:abstractNumId w:val="9"/>
  </w:num>
  <w:num w:numId="18">
    <w:abstractNumId w:val="10"/>
  </w:num>
  <w:num w:numId="19">
    <w:abstractNumId w:val="24"/>
  </w:num>
  <w:num w:numId="20">
    <w:abstractNumId w:val="0"/>
  </w:num>
  <w:num w:numId="21">
    <w:abstractNumId w:val="17"/>
  </w:num>
  <w:num w:numId="22">
    <w:abstractNumId w:val="20"/>
  </w:num>
  <w:num w:numId="23">
    <w:abstractNumId w:val="19"/>
  </w:num>
  <w:num w:numId="24">
    <w:abstractNumId w:val="23"/>
  </w:num>
  <w:num w:numId="25">
    <w:abstractNumId w:val="4"/>
  </w:num>
  <w:num w:numId="26">
    <w:abstractNumId w:val="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trackRevisions/>
  <w:defaultTabStop w:val="1304"/>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869"/>
    <w:rsid w:val="00000065"/>
    <w:rsid w:val="000001FA"/>
    <w:rsid w:val="00006978"/>
    <w:rsid w:val="00006A17"/>
    <w:rsid w:val="00007F95"/>
    <w:rsid w:val="00014706"/>
    <w:rsid w:val="0001540D"/>
    <w:rsid w:val="00015B08"/>
    <w:rsid w:val="000168A5"/>
    <w:rsid w:val="000207FB"/>
    <w:rsid w:val="00020D50"/>
    <w:rsid w:val="0002145B"/>
    <w:rsid w:val="0002216A"/>
    <w:rsid w:val="0002231C"/>
    <w:rsid w:val="00023596"/>
    <w:rsid w:val="000239F4"/>
    <w:rsid w:val="00024ACB"/>
    <w:rsid w:val="00024C45"/>
    <w:rsid w:val="000255E9"/>
    <w:rsid w:val="00025FDB"/>
    <w:rsid w:val="00027071"/>
    <w:rsid w:val="00027C37"/>
    <w:rsid w:val="00030EEC"/>
    <w:rsid w:val="00031CB7"/>
    <w:rsid w:val="00032760"/>
    <w:rsid w:val="0003279B"/>
    <w:rsid w:val="0003348B"/>
    <w:rsid w:val="00034150"/>
    <w:rsid w:val="000350A1"/>
    <w:rsid w:val="000351AE"/>
    <w:rsid w:val="00035723"/>
    <w:rsid w:val="00035ECE"/>
    <w:rsid w:val="00036615"/>
    <w:rsid w:val="00036CB1"/>
    <w:rsid w:val="00040F3F"/>
    <w:rsid w:val="00041CB8"/>
    <w:rsid w:val="000420D7"/>
    <w:rsid w:val="000423B4"/>
    <w:rsid w:val="000427F6"/>
    <w:rsid w:val="00044EF3"/>
    <w:rsid w:val="00045464"/>
    <w:rsid w:val="00046859"/>
    <w:rsid w:val="00046982"/>
    <w:rsid w:val="00047A27"/>
    <w:rsid w:val="00050A2A"/>
    <w:rsid w:val="00051378"/>
    <w:rsid w:val="00052F28"/>
    <w:rsid w:val="000533AB"/>
    <w:rsid w:val="00055307"/>
    <w:rsid w:val="00055B1A"/>
    <w:rsid w:val="00055F9D"/>
    <w:rsid w:val="00056A8E"/>
    <w:rsid w:val="000601BB"/>
    <w:rsid w:val="000609E8"/>
    <w:rsid w:val="00060B8D"/>
    <w:rsid w:val="00061B39"/>
    <w:rsid w:val="000634AA"/>
    <w:rsid w:val="00063E20"/>
    <w:rsid w:val="000647EF"/>
    <w:rsid w:val="00066662"/>
    <w:rsid w:val="000718EA"/>
    <w:rsid w:val="00072567"/>
    <w:rsid w:val="00076C5F"/>
    <w:rsid w:val="0008023C"/>
    <w:rsid w:val="00080BFD"/>
    <w:rsid w:val="00080E9D"/>
    <w:rsid w:val="00081227"/>
    <w:rsid w:val="00081A16"/>
    <w:rsid w:val="00083514"/>
    <w:rsid w:val="00084DED"/>
    <w:rsid w:val="00084E58"/>
    <w:rsid w:val="00085FDD"/>
    <w:rsid w:val="0009096B"/>
    <w:rsid w:val="00091CC4"/>
    <w:rsid w:val="000920D2"/>
    <w:rsid w:val="000923EA"/>
    <w:rsid w:val="00095AB6"/>
    <w:rsid w:val="000960C3"/>
    <w:rsid w:val="00096F53"/>
    <w:rsid w:val="000972B0"/>
    <w:rsid w:val="000A06E3"/>
    <w:rsid w:val="000A1AE3"/>
    <w:rsid w:val="000A3964"/>
    <w:rsid w:val="000A4804"/>
    <w:rsid w:val="000A498E"/>
    <w:rsid w:val="000A5139"/>
    <w:rsid w:val="000A53D0"/>
    <w:rsid w:val="000A682D"/>
    <w:rsid w:val="000A76CB"/>
    <w:rsid w:val="000B07FA"/>
    <w:rsid w:val="000B2D5B"/>
    <w:rsid w:val="000B3F1B"/>
    <w:rsid w:val="000B4B2C"/>
    <w:rsid w:val="000B4FD3"/>
    <w:rsid w:val="000B54C2"/>
    <w:rsid w:val="000C12A6"/>
    <w:rsid w:val="000C2E18"/>
    <w:rsid w:val="000C34E7"/>
    <w:rsid w:val="000C35CF"/>
    <w:rsid w:val="000C3D61"/>
    <w:rsid w:val="000C4416"/>
    <w:rsid w:val="000C4C62"/>
    <w:rsid w:val="000C63B9"/>
    <w:rsid w:val="000C6756"/>
    <w:rsid w:val="000D2E09"/>
    <w:rsid w:val="000D2E87"/>
    <w:rsid w:val="000D31BA"/>
    <w:rsid w:val="000D39AE"/>
    <w:rsid w:val="000D4578"/>
    <w:rsid w:val="000D4774"/>
    <w:rsid w:val="000D610F"/>
    <w:rsid w:val="000D64E7"/>
    <w:rsid w:val="000D6604"/>
    <w:rsid w:val="000D704C"/>
    <w:rsid w:val="000D751C"/>
    <w:rsid w:val="000E0DA4"/>
    <w:rsid w:val="000E1267"/>
    <w:rsid w:val="000E1733"/>
    <w:rsid w:val="000E2B06"/>
    <w:rsid w:val="000E3CF7"/>
    <w:rsid w:val="000E507D"/>
    <w:rsid w:val="000E7945"/>
    <w:rsid w:val="000F16D5"/>
    <w:rsid w:val="000F1E56"/>
    <w:rsid w:val="000F38F5"/>
    <w:rsid w:val="000F3F6C"/>
    <w:rsid w:val="000F414A"/>
    <w:rsid w:val="000F4801"/>
    <w:rsid w:val="000F4C75"/>
    <w:rsid w:val="000F5B2F"/>
    <w:rsid w:val="001022DC"/>
    <w:rsid w:val="001026FB"/>
    <w:rsid w:val="00102F02"/>
    <w:rsid w:val="00104CE5"/>
    <w:rsid w:val="0010500B"/>
    <w:rsid w:val="00105694"/>
    <w:rsid w:val="001065F0"/>
    <w:rsid w:val="00106CA7"/>
    <w:rsid w:val="00112598"/>
    <w:rsid w:val="0011295D"/>
    <w:rsid w:val="0011550D"/>
    <w:rsid w:val="00116C98"/>
    <w:rsid w:val="0011719C"/>
    <w:rsid w:val="00117A27"/>
    <w:rsid w:val="001201B2"/>
    <w:rsid w:val="0012114D"/>
    <w:rsid w:val="001243D6"/>
    <w:rsid w:val="001300FC"/>
    <w:rsid w:val="001336C6"/>
    <w:rsid w:val="00133763"/>
    <w:rsid w:val="00133821"/>
    <w:rsid w:val="0013394B"/>
    <w:rsid w:val="00133CC6"/>
    <w:rsid w:val="001348C4"/>
    <w:rsid w:val="00141234"/>
    <w:rsid w:val="001414DF"/>
    <w:rsid w:val="00141637"/>
    <w:rsid w:val="00142362"/>
    <w:rsid w:val="0014465C"/>
    <w:rsid w:val="00145A83"/>
    <w:rsid w:val="00146864"/>
    <w:rsid w:val="00146D48"/>
    <w:rsid w:val="00147B5A"/>
    <w:rsid w:val="00151316"/>
    <w:rsid w:val="00151635"/>
    <w:rsid w:val="00151724"/>
    <w:rsid w:val="00152765"/>
    <w:rsid w:val="00153029"/>
    <w:rsid w:val="001540B4"/>
    <w:rsid w:val="001559BD"/>
    <w:rsid w:val="00156E83"/>
    <w:rsid w:val="001572C4"/>
    <w:rsid w:val="00160C40"/>
    <w:rsid w:val="0016136E"/>
    <w:rsid w:val="0016249C"/>
    <w:rsid w:val="001629D1"/>
    <w:rsid w:val="00162E1A"/>
    <w:rsid w:val="00163C61"/>
    <w:rsid w:val="001642B3"/>
    <w:rsid w:val="001651B9"/>
    <w:rsid w:val="0016543B"/>
    <w:rsid w:val="001655F5"/>
    <w:rsid w:val="00166147"/>
    <w:rsid w:val="00167CEF"/>
    <w:rsid w:val="00167F49"/>
    <w:rsid w:val="00170257"/>
    <w:rsid w:val="00170CE6"/>
    <w:rsid w:val="00170D43"/>
    <w:rsid w:val="00171265"/>
    <w:rsid w:val="00172C7C"/>
    <w:rsid w:val="00172F50"/>
    <w:rsid w:val="001733BC"/>
    <w:rsid w:val="001746EE"/>
    <w:rsid w:val="00176183"/>
    <w:rsid w:val="00177118"/>
    <w:rsid w:val="00177F44"/>
    <w:rsid w:val="00177FAD"/>
    <w:rsid w:val="00183CD2"/>
    <w:rsid w:val="00191DF7"/>
    <w:rsid w:val="00193488"/>
    <w:rsid w:val="0019378A"/>
    <w:rsid w:val="00193CD6"/>
    <w:rsid w:val="001945E1"/>
    <w:rsid w:val="0019598D"/>
    <w:rsid w:val="00196FB1"/>
    <w:rsid w:val="00196FB7"/>
    <w:rsid w:val="001972D5"/>
    <w:rsid w:val="001A07D5"/>
    <w:rsid w:val="001A0844"/>
    <w:rsid w:val="001A0F01"/>
    <w:rsid w:val="001A1239"/>
    <w:rsid w:val="001A2217"/>
    <w:rsid w:val="001A2C37"/>
    <w:rsid w:val="001A4A80"/>
    <w:rsid w:val="001A4F3A"/>
    <w:rsid w:val="001A52AA"/>
    <w:rsid w:val="001A570A"/>
    <w:rsid w:val="001A673B"/>
    <w:rsid w:val="001A69D6"/>
    <w:rsid w:val="001A7192"/>
    <w:rsid w:val="001B1857"/>
    <w:rsid w:val="001B1B5E"/>
    <w:rsid w:val="001B2E0D"/>
    <w:rsid w:val="001B3B61"/>
    <w:rsid w:val="001B43CA"/>
    <w:rsid w:val="001B5F14"/>
    <w:rsid w:val="001B79A9"/>
    <w:rsid w:val="001B7AB6"/>
    <w:rsid w:val="001C008D"/>
    <w:rsid w:val="001C2CF2"/>
    <w:rsid w:val="001C3EB1"/>
    <w:rsid w:val="001C3FA6"/>
    <w:rsid w:val="001C4627"/>
    <w:rsid w:val="001C617E"/>
    <w:rsid w:val="001C7F11"/>
    <w:rsid w:val="001D0444"/>
    <w:rsid w:val="001D0479"/>
    <w:rsid w:val="001D1A36"/>
    <w:rsid w:val="001D232C"/>
    <w:rsid w:val="001D2913"/>
    <w:rsid w:val="001D487B"/>
    <w:rsid w:val="001D5378"/>
    <w:rsid w:val="001D5794"/>
    <w:rsid w:val="001D61AB"/>
    <w:rsid w:val="001D6485"/>
    <w:rsid w:val="001E0068"/>
    <w:rsid w:val="001E0A7D"/>
    <w:rsid w:val="001E0FEB"/>
    <w:rsid w:val="001E3A2E"/>
    <w:rsid w:val="001E4C25"/>
    <w:rsid w:val="001E6E38"/>
    <w:rsid w:val="001F00D3"/>
    <w:rsid w:val="001F055B"/>
    <w:rsid w:val="001F1280"/>
    <w:rsid w:val="001F18B6"/>
    <w:rsid w:val="001F4236"/>
    <w:rsid w:val="001F44DB"/>
    <w:rsid w:val="001F4D45"/>
    <w:rsid w:val="001F7B8A"/>
    <w:rsid w:val="00200CEB"/>
    <w:rsid w:val="00200E48"/>
    <w:rsid w:val="00201E41"/>
    <w:rsid w:val="00202D14"/>
    <w:rsid w:val="00204278"/>
    <w:rsid w:val="002045A5"/>
    <w:rsid w:val="00205081"/>
    <w:rsid w:val="002053AD"/>
    <w:rsid w:val="002063B2"/>
    <w:rsid w:val="002069C0"/>
    <w:rsid w:val="00206F9D"/>
    <w:rsid w:val="002073E9"/>
    <w:rsid w:val="00207ABD"/>
    <w:rsid w:val="00210498"/>
    <w:rsid w:val="00210848"/>
    <w:rsid w:val="002109B0"/>
    <w:rsid w:val="00212114"/>
    <w:rsid w:val="0021387A"/>
    <w:rsid w:val="0021396C"/>
    <w:rsid w:val="00214CFE"/>
    <w:rsid w:val="002158EE"/>
    <w:rsid w:val="002236F2"/>
    <w:rsid w:val="0022508C"/>
    <w:rsid w:val="00225332"/>
    <w:rsid w:val="00225D0F"/>
    <w:rsid w:val="00226200"/>
    <w:rsid w:val="00226D0A"/>
    <w:rsid w:val="002272A2"/>
    <w:rsid w:val="00227893"/>
    <w:rsid w:val="00230947"/>
    <w:rsid w:val="00231644"/>
    <w:rsid w:val="00233575"/>
    <w:rsid w:val="002340FA"/>
    <w:rsid w:val="002352ED"/>
    <w:rsid w:val="002360AC"/>
    <w:rsid w:val="00236575"/>
    <w:rsid w:val="002365F4"/>
    <w:rsid w:val="00236B74"/>
    <w:rsid w:val="0023753B"/>
    <w:rsid w:val="00240146"/>
    <w:rsid w:val="00241130"/>
    <w:rsid w:val="00241512"/>
    <w:rsid w:val="002424A1"/>
    <w:rsid w:val="002427C5"/>
    <w:rsid w:val="00242FEA"/>
    <w:rsid w:val="0024362C"/>
    <w:rsid w:val="0024422A"/>
    <w:rsid w:val="002449E9"/>
    <w:rsid w:val="00244A4C"/>
    <w:rsid w:val="00244BDA"/>
    <w:rsid w:val="00244D2D"/>
    <w:rsid w:val="00245094"/>
    <w:rsid w:val="002453B6"/>
    <w:rsid w:val="00246081"/>
    <w:rsid w:val="00251C16"/>
    <w:rsid w:val="00251C78"/>
    <w:rsid w:val="0025455F"/>
    <w:rsid w:val="00255387"/>
    <w:rsid w:val="00256A58"/>
    <w:rsid w:val="00257131"/>
    <w:rsid w:val="00261B3D"/>
    <w:rsid w:val="0026215C"/>
    <w:rsid w:val="00263945"/>
    <w:rsid w:val="00265435"/>
    <w:rsid w:val="00265736"/>
    <w:rsid w:val="0026685D"/>
    <w:rsid w:val="00267162"/>
    <w:rsid w:val="002674B1"/>
    <w:rsid w:val="002675C7"/>
    <w:rsid w:val="00271CB0"/>
    <w:rsid w:val="002733AD"/>
    <w:rsid w:val="002744E5"/>
    <w:rsid w:val="00274F52"/>
    <w:rsid w:val="002769E1"/>
    <w:rsid w:val="00281479"/>
    <w:rsid w:val="00281B3D"/>
    <w:rsid w:val="00281F4F"/>
    <w:rsid w:val="002823AB"/>
    <w:rsid w:val="00282B91"/>
    <w:rsid w:val="00282DF1"/>
    <w:rsid w:val="002833D8"/>
    <w:rsid w:val="00283D2E"/>
    <w:rsid w:val="002857AA"/>
    <w:rsid w:val="002861AD"/>
    <w:rsid w:val="00287B84"/>
    <w:rsid w:val="00290EA0"/>
    <w:rsid w:val="00291D2C"/>
    <w:rsid w:val="00291E53"/>
    <w:rsid w:val="00292490"/>
    <w:rsid w:val="0029368F"/>
    <w:rsid w:val="00293B0C"/>
    <w:rsid w:val="0029593C"/>
    <w:rsid w:val="00297708"/>
    <w:rsid w:val="00297960"/>
    <w:rsid w:val="002A080E"/>
    <w:rsid w:val="002A2253"/>
    <w:rsid w:val="002A3B98"/>
    <w:rsid w:val="002A3F7B"/>
    <w:rsid w:val="002A4221"/>
    <w:rsid w:val="002A7B8D"/>
    <w:rsid w:val="002B08F7"/>
    <w:rsid w:val="002B09E5"/>
    <w:rsid w:val="002B200F"/>
    <w:rsid w:val="002B301B"/>
    <w:rsid w:val="002B483A"/>
    <w:rsid w:val="002B49FB"/>
    <w:rsid w:val="002B6F06"/>
    <w:rsid w:val="002B7168"/>
    <w:rsid w:val="002C0A27"/>
    <w:rsid w:val="002C1DC9"/>
    <w:rsid w:val="002C2CF8"/>
    <w:rsid w:val="002C2EDF"/>
    <w:rsid w:val="002C30F8"/>
    <w:rsid w:val="002C3B00"/>
    <w:rsid w:val="002C3E76"/>
    <w:rsid w:val="002C5315"/>
    <w:rsid w:val="002C5826"/>
    <w:rsid w:val="002C5E80"/>
    <w:rsid w:val="002C6CA2"/>
    <w:rsid w:val="002C76B0"/>
    <w:rsid w:val="002C7813"/>
    <w:rsid w:val="002C7814"/>
    <w:rsid w:val="002D33BE"/>
    <w:rsid w:val="002D3A0F"/>
    <w:rsid w:val="002D4A5F"/>
    <w:rsid w:val="002D736D"/>
    <w:rsid w:val="002E17F5"/>
    <w:rsid w:val="002E3155"/>
    <w:rsid w:val="002E31E5"/>
    <w:rsid w:val="002E3339"/>
    <w:rsid w:val="002E3919"/>
    <w:rsid w:val="002E43A5"/>
    <w:rsid w:val="002E572D"/>
    <w:rsid w:val="002E7596"/>
    <w:rsid w:val="002F1F99"/>
    <w:rsid w:val="002F2594"/>
    <w:rsid w:val="002F38E7"/>
    <w:rsid w:val="002F5389"/>
    <w:rsid w:val="002F6A1A"/>
    <w:rsid w:val="002F6A4F"/>
    <w:rsid w:val="002F6BED"/>
    <w:rsid w:val="002F7D7B"/>
    <w:rsid w:val="0030249F"/>
    <w:rsid w:val="003027F3"/>
    <w:rsid w:val="00302C9D"/>
    <w:rsid w:val="00303146"/>
    <w:rsid w:val="00305329"/>
    <w:rsid w:val="0030605A"/>
    <w:rsid w:val="00306445"/>
    <w:rsid w:val="00306495"/>
    <w:rsid w:val="003069DE"/>
    <w:rsid w:val="00307AC9"/>
    <w:rsid w:val="00311FF3"/>
    <w:rsid w:val="00314862"/>
    <w:rsid w:val="00314F0F"/>
    <w:rsid w:val="003170BB"/>
    <w:rsid w:val="00320070"/>
    <w:rsid w:val="0032069B"/>
    <w:rsid w:val="00320DA0"/>
    <w:rsid w:val="003210A3"/>
    <w:rsid w:val="00321CF7"/>
    <w:rsid w:val="003234C1"/>
    <w:rsid w:val="003243EA"/>
    <w:rsid w:val="003249A9"/>
    <w:rsid w:val="00324E1B"/>
    <w:rsid w:val="003256C9"/>
    <w:rsid w:val="003257D6"/>
    <w:rsid w:val="00326AA2"/>
    <w:rsid w:val="00326ADE"/>
    <w:rsid w:val="0033049D"/>
    <w:rsid w:val="003308DC"/>
    <w:rsid w:val="003311F8"/>
    <w:rsid w:val="00331C95"/>
    <w:rsid w:val="003328BF"/>
    <w:rsid w:val="00332CA0"/>
    <w:rsid w:val="00333C57"/>
    <w:rsid w:val="003345C5"/>
    <w:rsid w:val="0033522F"/>
    <w:rsid w:val="00336C22"/>
    <w:rsid w:val="0033741B"/>
    <w:rsid w:val="00337420"/>
    <w:rsid w:val="00340459"/>
    <w:rsid w:val="00340E68"/>
    <w:rsid w:val="003413DD"/>
    <w:rsid w:val="00342381"/>
    <w:rsid w:val="00343A0D"/>
    <w:rsid w:val="00343F7C"/>
    <w:rsid w:val="0034412B"/>
    <w:rsid w:val="00345CEE"/>
    <w:rsid w:val="00345D3C"/>
    <w:rsid w:val="003467D4"/>
    <w:rsid w:val="00346F9A"/>
    <w:rsid w:val="00347868"/>
    <w:rsid w:val="003503D1"/>
    <w:rsid w:val="00353C97"/>
    <w:rsid w:val="00354249"/>
    <w:rsid w:val="003545A9"/>
    <w:rsid w:val="0035554A"/>
    <w:rsid w:val="00355FDE"/>
    <w:rsid w:val="003568AC"/>
    <w:rsid w:val="00357409"/>
    <w:rsid w:val="003614F2"/>
    <w:rsid w:val="00361BEB"/>
    <w:rsid w:val="00363C2A"/>
    <w:rsid w:val="00366204"/>
    <w:rsid w:val="00366C57"/>
    <w:rsid w:val="003700DD"/>
    <w:rsid w:val="003713A2"/>
    <w:rsid w:val="003728F2"/>
    <w:rsid w:val="003764D5"/>
    <w:rsid w:val="003769E5"/>
    <w:rsid w:val="00377E9C"/>
    <w:rsid w:val="00381806"/>
    <w:rsid w:val="00383C97"/>
    <w:rsid w:val="00384610"/>
    <w:rsid w:val="003852C7"/>
    <w:rsid w:val="00385906"/>
    <w:rsid w:val="00386290"/>
    <w:rsid w:val="003878F2"/>
    <w:rsid w:val="00387E57"/>
    <w:rsid w:val="00391D0A"/>
    <w:rsid w:val="003921D5"/>
    <w:rsid w:val="00392483"/>
    <w:rsid w:val="00393439"/>
    <w:rsid w:val="00393A52"/>
    <w:rsid w:val="003967C0"/>
    <w:rsid w:val="0039688E"/>
    <w:rsid w:val="003968A2"/>
    <w:rsid w:val="003968B6"/>
    <w:rsid w:val="003969B7"/>
    <w:rsid w:val="00396A84"/>
    <w:rsid w:val="0039764F"/>
    <w:rsid w:val="00397F52"/>
    <w:rsid w:val="003A017F"/>
    <w:rsid w:val="003A01BA"/>
    <w:rsid w:val="003A12BB"/>
    <w:rsid w:val="003A19D3"/>
    <w:rsid w:val="003A1CA4"/>
    <w:rsid w:val="003A230F"/>
    <w:rsid w:val="003A41BD"/>
    <w:rsid w:val="003A6109"/>
    <w:rsid w:val="003A62EF"/>
    <w:rsid w:val="003B087C"/>
    <w:rsid w:val="003B0F5F"/>
    <w:rsid w:val="003B1016"/>
    <w:rsid w:val="003B401F"/>
    <w:rsid w:val="003B502C"/>
    <w:rsid w:val="003B5409"/>
    <w:rsid w:val="003B5737"/>
    <w:rsid w:val="003B71C2"/>
    <w:rsid w:val="003B75EA"/>
    <w:rsid w:val="003B7E9A"/>
    <w:rsid w:val="003B7F64"/>
    <w:rsid w:val="003C0526"/>
    <w:rsid w:val="003C08BF"/>
    <w:rsid w:val="003C1261"/>
    <w:rsid w:val="003C1C09"/>
    <w:rsid w:val="003C1C65"/>
    <w:rsid w:val="003C274C"/>
    <w:rsid w:val="003C3A26"/>
    <w:rsid w:val="003C7818"/>
    <w:rsid w:val="003D05A1"/>
    <w:rsid w:val="003D0B55"/>
    <w:rsid w:val="003D23C3"/>
    <w:rsid w:val="003D274E"/>
    <w:rsid w:val="003D5BC7"/>
    <w:rsid w:val="003D73EB"/>
    <w:rsid w:val="003E0D03"/>
    <w:rsid w:val="003E0FA8"/>
    <w:rsid w:val="003E2B67"/>
    <w:rsid w:val="003E31A8"/>
    <w:rsid w:val="003E3624"/>
    <w:rsid w:val="003E3CC7"/>
    <w:rsid w:val="003E3E43"/>
    <w:rsid w:val="003E47A1"/>
    <w:rsid w:val="003E4A06"/>
    <w:rsid w:val="003E65E2"/>
    <w:rsid w:val="003F0FC9"/>
    <w:rsid w:val="003F2210"/>
    <w:rsid w:val="003F3AA5"/>
    <w:rsid w:val="003F473E"/>
    <w:rsid w:val="003F4E8D"/>
    <w:rsid w:val="003F5EC8"/>
    <w:rsid w:val="003F5F9B"/>
    <w:rsid w:val="003F6D74"/>
    <w:rsid w:val="003F7752"/>
    <w:rsid w:val="00400B3A"/>
    <w:rsid w:val="00400EBE"/>
    <w:rsid w:val="00403616"/>
    <w:rsid w:val="00403D39"/>
    <w:rsid w:val="00403F7A"/>
    <w:rsid w:val="00404AC7"/>
    <w:rsid w:val="00407532"/>
    <w:rsid w:val="00407BB0"/>
    <w:rsid w:val="00407FF3"/>
    <w:rsid w:val="00411235"/>
    <w:rsid w:val="00414E34"/>
    <w:rsid w:val="0041524B"/>
    <w:rsid w:val="00416F0E"/>
    <w:rsid w:val="0042217C"/>
    <w:rsid w:val="00422D1A"/>
    <w:rsid w:val="004242C2"/>
    <w:rsid w:val="004247D3"/>
    <w:rsid w:val="004249A5"/>
    <w:rsid w:val="00424EA8"/>
    <w:rsid w:val="004259B0"/>
    <w:rsid w:val="004275A4"/>
    <w:rsid w:val="00427C9E"/>
    <w:rsid w:val="00430619"/>
    <w:rsid w:val="004309CE"/>
    <w:rsid w:val="00430FE5"/>
    <w:rsid w:val="004328B7"/>
    <w:rsid w:val="0043530F"/>
    <w:rsid w:val="00435D24"/>
    <w:rsid w:val="004469D2"/>
    <w:rsid w:val="00447AD1"/>
    <w:rsid w:val="00447D14"/>
    <w:rsid w:val="00450E52"/>
    <w:rsid w:val="0045118D"/>
    <w:rsid w:val="00451EA0"/>
    <w:rsid w:val="00455B45"/>
    <w:rsid w:val="00457FB0"/>
    <w:rsid w:val="00460428"/>
    <w:rsid w:val="004606C1"/>
    <w:rsid w:val="00461DEF"/>
    <w:rsid w:val="00463D35"/>
    <w:rsid w:val="0046790F"/>
    <w:rsid w:val="00467E83"/>
    <w:rsid w:val="0047130A"/>
    <w:rsid w:val="00471FB5"/>
    <w:rsid w:val="00474A3B"/>
    <w:rsid w:val="00476759"/>
    <w:rsid w:val="00480036"/>
    <w:rsid w:val="004801D4"/>
    <w:rsid w:val="00482A8C"/>
    <w:rsid w:val="00483F6E"/>
    <w:rsid w:val="00484742"/>
    <w:rsid w:val="004847DE"/>
    <w:rsid w:val="00484EA6"/>
    <w:rsid w:val="00484FFA"/>
    <w:rsid w:val="00486A33"/>
    <w:rsid w:val="0049082B"/>
    <w:rsid w:val="00491A17"/>
    <w:rsid w:val="00491BDA"/>
    <w:rsid w:val="00491E89"/>
    <w:rsid w:val="00493CE3"/>
    <w:rsid w:val="00494E7D"/>
    <w:rsid w:val="00494FE6"/>
    <w:rsid w:val="004952AD"/>
    <w:rsid w:val="0049583A"/>
    <w:rsid w:val="00495E48"/>
    <w:rsid w:val="00497147"/>
    <w:rsid w:val="004973CF"/>
    <w:rsid w:val="004978B6"/>
    <w:rsid w:val="004A143A"/>
    <w:rsid w:val="004A1A3F"/>
    <w:rsid w:val="004A2353"/>
    <w:rsid w:val="004A2474"/>
    <w:rsid w:val="004A25B7"/>
    <w:rsid w:val="004A44BB"/>
    <w:rsid w:val="004A468F"/>
    <w:rsid w:val="004A5D47"/>
    <w:rsid w:val="004A6FF1"/>
    <w:rsid w:val="004A791A"/>
    <w:rsid w:val="004B0EED"/>
    <w:rsid w:val="004B2BC6"/>
    <w:rsid w:val="004B42F2"/>
    <w:rsid w:val="004B5016"/>
    <w:rsid w:val="004B5488"/>
    <w:rsid w:val="004B7605"/>
    <w:rsid w:val="004C062C"/>
    <w:rsid w:val="004C2D0A"/>
    <w:rsid w:val="004C310E"/>
    <w:rsid w:val="004C4A2C"/>
    <w:rsid w:val="004C5E47"/>
    <w:rsid w:val="004C61BF"/>
    <w:rsid w:val="004C63E1"/>
    <w:rsid w:val="004C63EF"/>
    <w:rsid w:val="004C7990"/>
    <w:rsid w:val="004D0425"/>
    <w:rsid w:val="004D0C8F"/>
    <w:rsid w:val="004D0EB8"/>
    <w:rsid w:val="004D2082"/>
    <w:rsid w:val="004D2434"/>
    <w:rsid w:val="004D2E46"/>
    <w:rsid w:val="004D3A0D"/>
    <w:rsid w:val="004D4FF9"/>
    <w:rsid w:val="004D5E73"/>
    <w:rsid w:val="004D626F"/>
    <w:rsid w:val="004D71C2"/>
    <w:rsid w:val="004D762A"/>
    <w:rsid w:val="004E0E59"/>
    <w:rsid w:val="004E2030"/>
    <w:rsid w:val="004E472E"/>
    <w:rsid w:val="004E4EB8"/>
    <w:rsid w:val="004E5C2C"/>
    <w:rsid w:val="004E6925"/>
    <w:rsid w:val="004E6EB9"/>
    <w:rsid w:val="004F036C"/>
    <w:rsid w:val="004F0555"/>
    <w:rsid w:val="004F1D66"/>
    <w:rsid w:val="004F4FD5"/>
    <w:rsid w:val="004F61C3"/>
    <w:rsid w:val="004F7937"/>
    <w:rsid w:val="004F7F6D"/>
    <w:rsid w:val="00502CD4"/>
    <w:rsid w:val="00504F2A"/>
    <w:rsid w:val="00505924"/>
    <w:rsid w:val="005066E0"/>
    <w:rsid w:val="00506C5E"/>
    <w:rsid w:val="00506D39"/>
    <w:rsid w:val="00506EB9"/>
    <w:rsid w:val="00510FD4"/>
    <w:rsid w:val="005118B5"/>
    <w:rsid w:val="00511F30"/>
    <w:rsid w:val="0051226B"/>
    <w:rsid w:val="005136C8"/>
    <w:rsid w:val="0051385D"/>
    <w:rsid w:val="0051416E"/>
    <w:rsid w:val="00514429"/>
    <w:rsid w:val="00514A45"/>
    <w:rsid w:val="00514FEF"/>
    <w:rsid w:val="005169BB"/>
    <w:rsid w:val="00520821"/>
    <w:rsid w:val="00522058"/>
    <w:rsid w:val="005225FD"/>
    <w:rsid w:val="00522BC8"/>
    <w:rsid w:val="00522F4F"/>
    <w:rsid w:val="00523CBF"/>
    <w:rsid w:val="00523E68"/>
    <w:rsid w:val="005246A7"/>
    <w:rsid w:val="00525A59"/>
    <w:rsid w:val="00525EFC"/>
    <w:rsid w:val="00527D84"/>
    <w:rsid w:val="0053068A"/>
    <w:rsid w:val="00530923"/>
    <w:rsid w:val="00531F8B"/>
    <w:rsid w:val="00532386"/>
    <w:rsid w:val="0053392B"/>
    <w:rsid w:val="00540892"/>
    <w:rsid w:val="00541807"/>
    <w:rsid w:val="005427C9"/>
    <w:rsid w:val="00542AE2"/>
    <w:rsid w:val="005455BB"/>
    <w:rsid w:val="005503B2"/>
    <w:rsid w:val="00550412"/>
    <w:rsid w:val="005504B4"/>
    <w:rsid w:val="00551398"/>
    <w:rsid w:val="005520EC"/>
    <w:rsid w:val="005520F2"/>
    <w:rsid w:val="00552960"/>
    <w:rsid w:val="00552C94"/>
    <w:rsid w:val="005536E6"/>
    <w:rsid w:val="00553B66"/>
    <w:rsid w:val="00554BDB"/>
    <w:rsid w:val="00555101"/>
    <w:rsid w:val="0055596D"/>
    <w:rsid w:val="00556D44"/>
    <w:rsid w:val="005570DA"/>
    <w:rsid w:val="005574E1"/>
    <w:rsid w:val="005623BB"/>
    <w:rsid w:val="0056321C"/>
    <w:rsid w:val="00563EA7"/>
    <w:rsid w:val="00565147"/>
    <w:rsid w:val="005653B5"/>
    <w:rsid w:val="0056583D"/>
    <w:rsid w:val="0056716B"/>
    <w:rsid w:val="005709C8"/>
    <w:rsid w:val="00571E37"/>
    <w:rsid w:val="0057238A"/>
    <w:rsid w:val="00575790"/>
    <w:rsid w:val="0057622A"/>
    <w:rsid w:val="005772C5"/>
    <w:rsid w:val="00581E51"/>
    <w:rsid w:val="00581F69"/>
    <w:rsid w:val="00582216"/>
    <w:rsid w:val="00582570"/>
    <w:rsid w:val="00582834"/>
    <w:rsid w:val="005828AC"/>
    <w:rsid w:val="00582996"/>
    <w:rsid w:val="00583B66"/>
    <w:rsid w:val="0058467D"/>
    <w:rsid w:val="0058501F"/>
    <w:rsid w:val="0058631D"/>
    <w:rsid w:val="0058685B"/>
    <w:rsid w:val="00586A3F"/>
    <w:rsid w:val="00590D7B"/>
    <w:rsid w:val="00591516"/>
    <w:rsid w:val="0059200E"/>
    <w:rsid w:val="00593D3D"/>
    <w:rsid w:val="00595260"/>
    <w:rsid w:val="00595837"/>
    <w:rsid w:val="005A0477"/>
    <w:rsid w:val="005A0A1D"/>
    <w:rsid w:val="005A49E0"/>
    <w:rsid w:val="005A505D"/>
    <w:rsid w:val="005A59FC"/>
    <w:rsid w:val="005A765E"/>
    <w:rsid w:val="005B08FD"/>
    <w:rsid w:val="005B3564"/>
    <w:rsid w:val="005B360B"/>
    <w:rsid w:val="005B3DFB"/>
    <w:rsid w:val="005B4D65"/>
    <w:rsid w:val="005B73BA"/>
    <w:rsid w:val="005C15BA"/>
    <w:rsid w:val="005C3590"/>
    <w:rsid w:val="005C3A45"/>
    <w:rsid w:val="005C4B00"/>
    <w:rsid w:val="005C7BA9"/>
    <w:rsid w:val="005D15BC"/>
    <w:rsid w:val="005D1731"/>
    <w:rsid w:val="005D2301"/>
    <w:rsid w:val="005D4D88"/>
    <w:rsid w:val="005D535B"/>
    <w:rsid w:val="005D5772"/>
    <w:rsid w:val="005D7460"/>
    <w:rsid w:val="005D7EA3"/>
    <w:rsid w:val="005E1100"/>
    <w:rsid w:val="005E30F9"/>
    <w:rsid w:val="005E5165"/>
    <w:rsid w:val="005E609A"/>
    <w:rsid w:val="005E6374"/>
    <w:rsid w:val="005E73B2"/>
    <w:rsid w:val="005E7482"/>
    <w:rsid w:val="005E77CE"/>
    <w:rsid w:val="005F0322"/>
    <w:rsid w:val="005F1B26"/>
    <w:rsid w:val="005F61FC"/>
    <w:rsid w:val="005F6A3D"/>
    <w:rsid w:val="005F6AC7"/>
    <w:rsid w:val="005F71E2"/>
    <w:rsid w:val="0060005A"/>
    <w:rsid w:val="0060041E"/>
    <w:rsid w:val="006010A3"/>
    <w:rsid w:val="006013EC"/>
    <w:rsid w:val="0060403A"/>
    <w:rsid w:val="006049EA"/>
    <w:rsid w:val="00604A1A"/>
    <w:rsid w:val="00605EB1"/>
    <w:rsid w:val="00610BE0"/>
    <w:rsid w:val="00612A83"/>
    <w:rsid w:val="006135E7"/>
    <w:rsid w:val="00614882"/>
    <w:rsid w:val="00614D07"/>
    <w:rsid w:val="00615A12"/>
    <w:rsid w:val="00615B90"/>
    <w:rsid w:val="00615EAF"/>
    <w:rsid w:val="006174B1"/>
    <w:rsid w:val="0061763D"/>
    <w:rsid w:val="00620BA1"/>
    <w:rsid w:val="006211ED"/>
    <w:rsid w:val="00621B27"/>
    <w:rsid w:val="00622D4D"/>
    <w:rsid w:val="00625302"/>
    <w:rsid w:val="00625B47"/>
    <w:rsid w:val="00626C7D"/>
    <w:rsid w:val="00627615"/>
    <w:rsid w:val="00634166"/>
    <w:rsid w:val="00634987"/>
    <w:rsid w:val="00636421"/>
    <w:rsid w:val="006369D5"/>
    <w:rsid w:val="006370F2"/>
    <w:rsid w:val="0064006E"/>
    <w:rsid w:val="00640A60"/>
    <w:rsid w:val="00641818"/>
    <w:rsid w:val="00641AF5"/>
    <w:rsid w:val="006434A6"/>
    <w:rsid w:val="006434DB"/>
    <w:rsid w:val="00644017"/>
    <w:rsid w:val="0064411D"/>
    <w:rsid w:val="00644606"/>
    <w:rsid w:val="00645F76"/>
    <w:rsid w:val="00646FC3"/>
    <w:rsid w:val="0064729C"/>
    <w:rsid w:val="00647ED9"/>
    <w:rsid w:val="00650177"/>
    <w:rsid w:val="00651893"/>
    <w:rsid w:val="00651D67"/>
    <w:rsid w:val="00652096"/>
    <w:rsid w:val="00652290"/>
    <w:rsid w:val="00652BBA"/>
    <w:rsid w:val="0065461D"/>
    <w:rsid w:val="00655CD1"/>
    <w:rsid w:val="00657597"/>
    <w:rsid w:val="00661309"/>
    <w:rsid w:val="00661675"/>
    <w:rsid w:val="00661694"/>
    <w:rsid w:val="00661BE1"/>
    <w:rsid w:val="0066275F"/>
    <w:rsid w:val="00662D2E"/>
    <w:rsid w:val="0066375A"/>
    <w:rsid w:val="0067115C"/>
    <w:rsid w:val="00672528"/>
    <w:rsid w:val="006763B9"/>
    <w:rsid w:val="00680281"/>
    <w:rsid w:val="006804DF"/>
    <w:rsid w:val="006809E8"/>
    <w:rsid w:val="006814DC"/>
    <w:rsid w:val="00681502"/>
    <w:rsid w:val="00681DE2"/>
    <w:rsid w:val="006820F9"/>
    <w:rsid w:val="006823EE"/>
    <w:rsid w:val="006840FD"/>
    <w:rsid w:val="00684AEC"/>
    <w:rsid w:val="0068551C"/>
    <w:rsid w:val="0068561C"/>
    <w:rsid w:val="00685676"/>
    <w:rsid w:val="00687F25"/>
    <w:rsid w:val="00691CA4"/>
    <w:rsid w:val="00691DFE"/>
    <w:rsid w:val="006921A9"/>
    <w:rsid w:val="00692E56"/>
    <w:rsid w:val="0069326A"/>
    <w:rsid w:val="00693452"/>
    <w:rsid w:val="00693FA7"/>
    <w:rsid w:val="00694552"/>
    <w:rsid w:val="00694AFC"/>
    <w:rsid w:val="00694DBB"/>
    <w:rsid w:val="00696114"/>
    <w:rsid w:val="00696216"/>
    <w:rsid w:val="00696713"/>
    <w:rsid w:val="00697CF5"/>
    <w:rsid w:val="006A1EA1"/>
    <w:rsid w:val="006A26E3"/>
    <w:rsid w:val="006A29CA"/>
    <w:rsid w:val="006A444D"/>
    <w:rsid w:val="006A613B"/>
    <w:rsid w:val="006A6B01"/>
    <w:rsid w:val="006A7386"/>
    <w:rsid w:val="006B10D9"/>
    <w:rsid w:val="006B2FC6"/>
    <w:rsid w:val="006B5B47"/>
    <w:rsid w:val="006B5FAE"/>
    <w:rsid w:val="006C12BA"/>
    <w:rsid w:val="006C1706"/>
    <w:rsid w:val="006C1FB5"/>
    <w:rsid w:val="006C223B"/>
    <w:rsid w:val="006C2495"/>
    <w:rsid w:val="006C2FA6"/>
    <w:rsid w:val="006C3116"/>
    <w:rsid w:val="006C313D"/>
    <w:rsid w:val="006C3444"/>
    <w:rsid w:val="006C47E0"/>
    <w:rsid w:val="006C5C61"/>
    <w:rsid w:val="006C68A3"/>
    <w:rsid w:val="006C7D97"/>
    <w:rsid w:val="006C7EDC"/>
    <w:rsid w:val="006D0921"/>
    <w:rsid w:val="006D0EF9"/>
    <w:rsid w:val="006D0F5E"/>
    <w:rsid w:val="006D2B56"/>
    <w:rsid w:val="006D4A8A"/>
    <w:rsid w:val="006D676C"/>
    <w:rsid w:val="006D6E07"/>
    <w:rsid w:val="006E0969"/>
    <w:rsid w:val="006E0FA9"/>
    <w:rsid w:val="006E289B"/>
    <w:rsid w:val="006E2A54"/>
    <w:rsid w:val="006E3536"/>
    <w:rsid w:val="006E594A"/>
    <w:rsid w:val="006E6832"/>
    <w:rsid w:val="006E6921"/>
    <w:rsid w:val="006E6ADA"/>
    <w:rsid w:val="006E7E37"/>
    <w:rsid w:val="006F1924"/>
    <w:rsid w:val="006F758B"/>
    <w:rsid w:val="007000A0"/>
    <w:rsid w:val="007014B7"/>
    <w:rsid w:val="00701524"/>
    <w:rsid w:val="0070167C"/>
    <w:rsid w:val="007018AC"/>
    <w:rsid w:val="0070300E"/>
    <w:rsid w:val="00704256"/>
    <w:rsid w:val="0070437C"/>
    <w:rsid w:val="007043E8"/>
    <w:rsid w:val="00705C7B"/>
    <w:rsid w:val="007070DB"/>
    <w:rsid w:val="007102DA"/>
    <w:rsid w:val="00711192"/>
    <w:rsid w:val="00711652"/>
    <w:rsid w:val="00711ABA"/>
    <w:rsid w:val="00712E6C"/>
    <w:rsid w:val="00712FA8"/>
    <w:rsid w:val="0071355B"/>
    <w:rsid w:val="00713AB3"/>
    <w:rsid w:val="00713BC7"/>
    <w:rsid w:val="00714789"/>
    <w:rsid w:val="007155C3"/>
    <w:rsid w:val="00715F1F"/>
    <w:rsid w:val="007165C2"/>
    <w:rsid w:val="00716959"/>
    <w:rsid w:val="00716A97"/>
    <w:rsid w:val="00717EF7"/>
    <w:rsid w:val="00720ACE"/>
    <w:rsid w:val="0072253C"/>
    <w:rsid w:val="00724924"/>
    <w:rsid w:val="00725130"/>
    <w:rsid w:val="007251C7"/>
    <w:rsid w:val="00725D45"/>
    <w:rsid w:val="0072628D"/>
    <w:rsid w:val="00730F08"/>
    <w:rsid w:val="0073149E"/>
    <w:rsid w:val="007340B0"/>
    <w:rsid w:val="00735481"/>
    <w:rsid w:val="00736F9D"/>
    <w:rsid w:val="00737466"/>
    <w:rsid w:val="00737A8C"/>
    <w:rsid w:val="007402B0"/>
    <w:rsid w:val="0074120F"/>
    <w:rsid w:val="00742876"/>
    <w:rsid w:val="007430DA"/>
    <w:rsid w:val="00743E1B"/>
    <w:rsid w:val="0074516B"/>
    <w:rsid w:val="007477E3"/>
    <w:rsid w:val="00747DDF"/>
    <w:rsid w:val="00750159"/>
    <w:rsid w:val="007515E2"/>
    <w:rsid w:val="007519BA"/>
    <w:rsid w:val="007519CF"/>
    <w:rsid w:val="00751C14"/>
    <w:rsid w:val="00751FAF"/>
    <w:rsid w:val="007561CD"/>
    <w:rsid w:val="007566BA"/>
    <w:rsid w:val="00756872"/>
    <w:rsid w:val="007579E3"/>
    <w:rsid w:val="00757CC5"/>
    <w:rsid w:val="00760037"/>
    <w:rsid w:val="00760685"/>
    <w:rsid w:val="00762504"/>
    <w:rsid w:val="007627A0"/>
    <w:rsid w:val="00762B17"/>
    <w:rsid w:val="00764193"/>
    <w:rsid w:val="00765F66"/>
    <w:rsid w:val="0077014B"/>
    <w:rsid w:val="00770E58"/>
    <w:rsid w:val="00771C40"/>
    <w:rsid w:val="00771EA0"/>
    <w:rsid w:val="007725A2"/>
    <w:rsid w:val="007730B4"/>
    <w:rsid w:val="0077516A"/>
    <w:rsid w:val="007778DF"/>
    <w:rsid w:val="0078019F"/>
    <w:rsid w:val="007826A6"/>
    <w:rsid w:val="00783C13"/>
    <w:rsid w:val="007840AA"/>
    <w:rsid w:val="00784D94"/>
    <w:rsid w:val="00785312"/>
    <w:rsid w:val="00785CEE"/>
    <w:rsid w:val="007907E2"/>
    <w:rsid w:val="007908A8"/>
    <w:rsid w:val="00791296"/>
    <w:rsid w:val="00792172"/>
    <w:rsid w:val="00792610"/>
    <w:rsid w:val="00792F41"/>
    <w:rsid w:val="0079356C"/>
    <w:rsid w:val="00794A9A"/>
    <w:rsid w:val="0079506F"/>
    <w:rsid w:val="007955BD"/>
    <w:rsid w:val="00795F88"/>
    <w:rsid w:val="0079668C"/>
    <w:rsid w:val="007969CE"/>
    <w:rsid w:val="00797207"/>
    <w:rsid w:val="00797C3E"/>
    <w:rsid w:val="00797CE3"/>
    <w:rsid w:val="007A00D1"/>
    <w:rsid w:val="007A0FFF"/>
    <w:rsid w:val="007A1081"/>
    <w:rsid w:val="007A2073"/>
    <w:rsid w:val="007A2376"/>
    <w:rsid w:val="007A2AC7"/>
    <w:rsid w:val="007A4C9A"/>
    <w:rsid w:val="007A724A"/>
    <w:rsid w:val="007B0064"/>
    <w:rsid w:val="007B19C6"/>
    <w:rsid w:val="007B1D27"/>
    <w:rsid w:val="007B2E51"/>
    <w:rsid w:val="007B4447"/>
    <w:rsid w:val="007B4CE1"/>
    <w:rsid w:val="007B7228"/>
    <w:rsid w:val="007C1395"/>
    <w:rsid w:val="007C15DE"/>
    <w:rsid w:val="007C1E45"/>
    <w:rsid w:val="007C2D4F"/>
    <w:rsid w:val="007C35E6"/>
    <w:rsid w:val="007C4E36"/>
    <w:rsid w:val="007C6D31"/>
    <w:rsid w:val="007C7499"/>
    <w:rsid w:val="007D239E"/>
    <w:rsid w:val="007D26D7"/>
    <w:rsid w:val="007D2D5A"/>
    <w:rsid w:val="007D3A84"/>
    <w:rsid w:val="007D6183"/>
    <w:rsid w:val="007D6CCF"/>
    <w:rsid w:val="007D72D8"/>
    <w:rsid w:val="007E158E"/>
    <w:rsid w:val="007E4E06"/>
    <w:rsid w:val="007E50F4"/>
    <w:rsid w:val="007E6311"/>
    <w:rsid w:val="007E7C97"/>
    <w:rsid w:val="007E7F44"/>
    <w:rsid w:val="007F3CED"/>
    <w:rsid w:val="007F42C1"/>
    <w:rsid w:val="007F4F6B"/>
    <w:rsid w:val="007F6B76"/>
    <w:rsid w:val="007F7592"/>
    <w:rsid w:val="00801944"/>
    <w:rsid w:val="00801B0F"/>
    <w:rsid w:val="00801F6D"/>
    <w:rsid w:val="0080355A"/>
    <w:rsid w:val="00803668"/>
    <w:rsid w:val="008048ED"/>
    <w:rsid w:val="00805A13"/>
    <w:rsid w:val="00807924"/>
    <w:rsid w:val="008124C1"/>
    <w:rsid w:val="00814A7D"/>
    <w:rsid w:val="00815C7E"/>
    <w:rsid w:val="00816DD6"/>
    <w:rsid w:val="0081736F"/>
    <w:rsid w:val="00817B0B"/>
    <w:rsid w:val="00817FA8"/>
    <w:rsid w:val="0082112F"/>
    <w:rsid w:val="00821C76"/>
    <w:rsid w:val="00821CA2"/>
    <w:rsid w:val="00821EB4"/>
    <w:rsid w:val="00821EFC"/>
    <w:rsid w:val="008232B5"/>
    <w:rsid w:val="00824ABF"/>
    <w:rsid w:val="00825106"/>
    <w:rsid w:val="00826D61"/>
    <w:rsid w:val="00826FA4"/>
    <w:rsid w:val="0083013F"/>
    <w:rsid w:val="0083175B"/>
    <w:rsid w:val="00831BB8"/>
    <w:rsid w:val="00831F5D"/>
    <w:rsid w:val="008323CC"/>
    <w:rsid w:val="00832B44"/>
    <w:rsid w:val="00833BE3"/>
    <w:rsid w:val="00835202"/>
    <w:rsid w:val="008352F3"/>
    <w:rsid w:val="00835F92"/>
    <w:rsid w:val="0083673F"/>
    <w:rsid w:val="008367E8"/>
    <w:rsid w:val="00836FAA"/>
    <w:rsid w:val="00841CA5"/>
    <w:rsid w:val="00842DDD"/>
    <w:rsid w:val="00842ED3"/>
    <w:rsid w:val="00842FBC"/>
    <w:rsid w:val="008442DD"/>
    <w:rsid w:val="00844E55"/>
    <w:rsid w:val="00845B8C"/>
    <w:rsid w:val="0084652E"/>
    <w:rsid w:val="0084687C"/>
    <w:rsid w:val="008474CA"/>
    <w:rsid w:val="00851500"/>
    <w:rsid w:val="0085155A"/>
    <w:rsid w:val="0085181D"/>
    <w:rsid w:val="008519AB"/>
    <w:rsid w:val="00851EBB"/>
    <w:rsid w:val="0085387B"/>
    <w:rsid w:val="00853D84"/>
    <w:rsid w:val="00854BA5"/>
    <w:rsid w:val="00855106"/>
    <w:rsid w:val="0085525A"/>
    <w:rsid w:val="00855B5A"/>
    <w:rsid w:val="00855CC8"/>
    <w:rsid w:val="00860185"/>
    <w:rsid w:val="0086078E"/>
    <w:rsid w:val="0086204C"/>
    <w:rsid w:val="008620FD"/>
    <w:rsid w:val="008621D6"/>
    <w:rsid w:val="0086263E"/>
    <w:rsid w:val="008628AF"/>
    <w:rsid w:val="00862A24"/>
    <w:rsid w:val="0086316A"/>
    <w:rsid w:val="00864228"/>
    <w:rsid w:val="00864B9E"/>
    <w:rsid w:val="008658C0"/>
    <w:rsid w:val="00865EF6"/>
    <w:rsid w:val="008670E7"/>
    <w:rsid w:val="0086771F"/>
    <w:rsid w:val="0087033A"/>
    <w:rsid w:val="00870C7D"/>
    <w:rsid w:val="00871453"/>
    <w:rsid w:val="00871A2B"/>
    <w:rsid w:val="008721C0"/>
    <w:rsid w:val="00872627"/>
    <w:rsid w:val="0087351C"/>
    <w:rsid w:val="008736F1"/>
    <w:rsid w:val="00873D69"/>
    <w:rsid w:val="00874813"/>
    <w:rsid w:val="008768C2"/>
    <w:rsid w:val="00877166"/>
    <w:rsid w:val="0087730F"/>
    <w:rsid w:val="008777C0"/>
    <w:rsid w:val="00877905"/>
    <w:rsid w:val="008779A9"/>
    <w:rsid w:val="008815BD"/>
    <w:rsid w:val="00881816"/>
    <w:rsid w:val="00881D52"/>
    <w:rsid w:val="00882EB5"/>
    <w:rsid w:val="0088330E"/>
    <w:rsid w:val="0088514E"/>
    <w:rsid w:val="0088722C"/>
    <w:rsid w:val="00887514"/>
    <w:rsid w:val="00890827"/>
    <w:rsid w:val="00890DEA"/>
    <w:rsid w:val="00891038"/>
    <w:rsid w:val="00892669"/>
    <w:rsid w:val="00893975"/>
    <w:rsid w:val="00893FAC"/>
    <w:rsid w:val="008947C9"/>
    <w:rsid w:val="008948C2"/>
    <w:rsid w:val="0089514D"/>
    <w:rsid w:val="00896736"/>
    <w:rsid w:val="00896C44"/>
    <w:rsid w:val="008976CE"/>
    <w:rsid w:val="00897CF8"/>
    <w:rsid w:val="00897EFF"/>
    <w:rsid w:val="008A03F8"/>
    <w:rsid w:val="008A04A4"/>
    <w:rsid w:val="008A0AA6"/>
    <w:rsid w:val="008A0D5C"/>
    <w:rsid w:val="008A29AF"/>
    <w:rsid w:val="008A2F9F"/>
    <w:rsid w:val="008A2FFE"/>
    <w:rsid w:val="008A32F6"/>
    <w:rsid w:val="008A49A7"/>
    <w:rsid w:val="008A63DE"/>
    <w:rsid w:val="008A7284"/>
    <w:rsid w:val="008A7570"/>
    <w:rsid w:val="008B017B"/>
    <w:rsid w:val="008B0A71"/>
    <w:rsid w:val="008B0D84"/>
    <w:rsid w:val="008B2AD4"/>
    <w:rsid w:val="008B3ABD"/>
    <w:rsid w:val="008B4C48"/>
    <w:rsid w:val="008B5E9D"/>
    <w:rsid w:val="008B70E7"/>
    <w:rsid w:val="008B77AC"/>
    <w:rsid w:val="008B7E6F"/>
    <w:rsid w:val="008C093D"/>
    <w:rsid w:val="008C1C32"/>
    <w:rsid w:val="008C2F37"/>
    <w:rsid w:val="008C36CF"/>
    <w:rsid w:val="008C3ABE"/>
    <w:rsid w:val="008C5F8F"/>
    <w:rsid w:val="008C613C"/>
    <w:rsid w:val="008D06E1"/>
    <w:rsid w:val="008D0BFB"/>
    <w:rsid w:val="008D0E22"/>
    <w:rsid w:val="008D2158"/>
    <w:rsid w:val="008D2705"/>
    <w:rsid w:val="008D2FE5"/>
    <w:rsid w:val="008D5211"/>
    <w:rsid w:val="008D5B92"/>
    <w:rsid w:val="008D6379"/>
    <w:rsid w:val="008D654A"/>
    <w:rsid w:val="008E4712"/>
    <w:rsid w:val="008E4C2F"/>
    <w:rsid w:val="008E5F3F"/>
    <w:rsid w:val="008F19CB"/>
    <w:rsid w:val="008F44E0"/>
    <w:rsid w:val="008F5E53"/>
    <w:rsid w:val="008F63B4"/>
    <w:rsid w:val="008F7234"/>
    <w:rsid w:val="00900847"/>
    <w:rsid w:val="00900A0C"/>
    <w:rsid w:val="00900BE2"/>
    <w:rsid w:val="00901410"/>
    <w:rsid w:val="00902073"/>
    <w:rsid w:val="00903782"/>
    <w:rsid w:val="00903808"/>
    <w:rsid w:val="00905F4F"/>
    <w:rsid w:val="00906F41"/>
    <w:rsid w:val="00907F09"/>
    <w:rsid w:val="009136E6"/>
    <w:rsid w:val="00915033"/>
    <w:rsid w:val="009162FB"/>
    <w:rsid w:val="009163E0"/>
    <w:rsid w:val="00916DC6"/>
    <w:rsid w:val="00917827"/>
    <w:rsid w:val="00920130"/>
    <w:rsid w:val="0092043A"/>
    <w:rsid w:val="00921073"/>
    <w:rsid w:val="009215AA"/>
    <w:rsid w:val="00923FB1"/>
    <w:rsid w:val="0092443E"/>
    <w:rsid w:val="0092468E"/>
    <w:rsid w:val="00927471"/>
    <w:rsid w:val="00930AD2"/>
    <w:rsid w:val="009330DE"/>
    <w:rsid w:val="00933EB5"/>
    <w:rsid w:val="009343B9"/>
    <w:rsid w:val="00934490"/>
    <w:rsid w:val="00934585"/>
    <w:rsid w:val="009352D0"/>
    <w:rsid w:val="0093565B"/>
    <w:rsid w:val="009362F8"/>
    <w:rsid w:val="00936DCE"/>
    <w:rsid w:val="00937994"/>
    <w:rsid w:val="009411DE"/>
    <w:rsid w:val="00942CE1"/>
    <w:rsid w:val="0094428E"/>
    <w:rsid w:val="009442D8"/>
    <w:rsid w:val="00944E03"/>
    <w:rsid w:val="00946B52"/>
    <w:rsid w:val="00946CA0"/>
    <w:rsid w:val="009522C0"/>
    <w:rsid w:val="0095313C"/>
    <w:rsid w:val="0095367B"/>
    <w:rsid w:val="00953880"/>
    <w:rsid w:val="00954039"/>
    <w:rsid w:val="009561A7"/>
    <w:rsid w:val="009566D3"/>
    <w:rsid w:val="00957DAB"/>
    <w:rsid w:val="009620B7"/>
    <w:rsid w:val="00962789"/>
    <w:rsid w:val="009679A7"/>
    <w:rsid w:val="00970375"/>
    <w:rsid w:val="009706EB"/>
    <w:rsid w:val="0097128F"/>
    <w:rsid w:val="00971404"/>
    <w:rsid w:val="0097197A"/>
    <w:rsid w:val="0097250B"/>
    <w:rsid w:val="00972E44"/>
    <w:rsid w:val="00972E7F"/>
    <w:rsid w:val="00972EEE"/>
    <w:rsid w:val="009759E5"/>
    <w:rsid w:val="00977B21"/>
    <w:rsid w:val="00977E6A"/>
    <w:rsid w:val="00980994"/>
    <w:rsid w:val="00980F95"/>
    <w:rsid w:val="0098149D"/>
    <w:rsid w:val="009839EB"/>
    <w:rsid w:val="00984064"/>
    <w:rsid w:val="00984B11"/>
    <w:rsid w:val="0099200B"/>
    <w:rsid w:val="00992F8A"/>
    <w:rsid w:val="0099656A"/>
    <w:rsid w:val="00996987"/>
    <w:rsid w:val="00997E27"/>
    <w:rsid w:val="009A017B"/>
    <w:rsid w:val="009A047A"/>
    <w:rsid w:val="009A33AB"/>
    <w:rsid w:val="009A33C0"/>
    <w:rsid w:val="009A4037"/>
    <w:rsid w:val="009A442F"/>
    <w:rsid w:val="009A52F9"/>
    <w:rsid w:val="009A69A1"/>
    <w:rsid w:val="009A7689"/>
    <w:rsid w:val="009B02E5"/>
    <w:rsid w:val="009B05DC"/>
    <w:rsid w:val="009B165D"/>
    <w:rsid w:val="009B288A"/>
    <w:rsid w:val="009B3ABD"/>
    <w:rsid w:val="009B3B31"/>
    <w:rsid w:val="009B4DC5"/>
    <w:rsid w:val="009B5B8A"/>
    <w:rsid w:val="009B65E4"/>
    <w:rsid w:val="009B767C"/>
    <w:rsid w:val="009B7B23"/>
    <w:rsid w:val="009C0A12"/>
    <w:rsid w:val="009C227B"/>
    <w:rsid w:val="009C28A0"/>
    <w:rsid w:val="009C4656"/>
    <w:rsid w:val="009C4687"/>
    <w:rsid w:val="009C4E3C"/>
    <w:rsid w:val="009C4EBB"/>
    <w:rsid w:val="009C59DF"/>
    <w:rsid w:val="009C5B29"/>
    <w:rsid w:val="009D005C"/>
    <w:rsid w:val="009D02FB"/>
    <w:rsid w:val="009D0488"/>
    <w:rsid w:val="009D2BE7"/>
    <w:rsid w:val="009D440A"/>
    <w:rsid w:val="009D4B5A"/>
    <w:rsid w:val="009D5632"/>
    <w:rsid w:val="009D654D"/>
    <w:rsid w:val="009D66F6"/>
    <w:rsid w:val="009D6969"/>
    <w:rsid w:val="009D6E06"/>
    <w:rsid w:val="009D7E67"/>
    <w:rsid w:val="009E364F"/>
    <w:rsid w:val="009E51A6"/>
    <w:rsid w:val="009F0283"/>
    <w:rsid w:val="009F0869"/>
    <w:rsid w:val="009F0E23"/>
    <w:rsid w:val="009F2550"/>
    <w:rsid w:val="009F30C9"/>
    <w:rsid w:val="009F328F"/>
    <w:rsid w:val="009F4187"/>
    <w:rsid w:val="009F5E29"/>
    <w:rsid w:val="009F6281"/>
    <w:rsid w:val="009F702E"/>
    <w:rsid w:val="009F72DD"/>
    <w:rsid w:val="00A014FB"/>
    <w:rsid w:val="00A029C2"/>
    <w:rsid w:val="00A03EDC"/>
    <w:rsid w:val="00A03EE0"/>
    <w:rsid w:val="00A040B3"/>
    <w:rsid w:val="00A04176"/>
    <w:rsid w:val="00A04E4E"/>
    <w:rsid w:val="00A05383"/>
    <w:rsid w:val="00A05603"/>
    <w:rsid w:val="00A056EE"/>
    <w:rsid w:val="00A0605C"/>
    <w:rsid w:val="00A0626F"/>
    <w:rsid w:val="00A064A3"/>
    <w:rsid w:val="00A06DA6"/>
    <w:rsid w:val="00A10A75"/>
    <w:rsid w:val="00A1141A"/>
    <w:rsid w:val="00A1173D"/>
    <w:rsid w:val="00A11755"/>
    <w:rsid w:val="00A128BE"/>
    <w:rsid w:val="00A12A73"/>
    <w:rsid w:val="00A13FE8"/>
    <w:rsid w:val="00A142AC"/>
    <w:rsid w:val="00A146F0"/>
    <w:rsid w:val="00A169AE"/>
    <w:rsid w:val="00A16B1F"/>
    <w:rsid w:val="00A17927"/>
    <w:rsid w:val="00A215B3"/>
    <w:rsid w:val="00A22E73"/>
    <w:rsid w:val="00A232B9"/>
    <w:rsid w:val="00A234EB"/>
    <w:rsid w:val="00A23552"/>
    <w:rsid w:val="00A23621"/>
    <w:rsid w:val="00A25D88"/>
    <w:rsid w:val="00A26105"/>
    <w:rsid w:val="00A26B60"/>
    <w:rsid w:val="00A26CB1"/>
    <w:rsid w:val="00A26FFE"/>
    <w:rsid w:val="00A30DE5"/>
    <w:rsid w:val="00A31D55"/>
    <w:rsid w:val="00A33976"/>
    <w:rsid w:val="00A34232"/>
    <w:rsid w:val="00A34FEB"/>
    <w:rsid w:val="00A3728B"/>
    <w:rsid w:val="00A37785"/>
    <w:rsid w:val="00A379B4"/>
    <w:rsid w:val="00A37FBF"/>
    <w:rsid w:val="00A40F4A"/>
    <w:rsid w:val="00A40F66"/>
    <w:rsid w:val="00A41E11"/>
    <w:rsid w:val="00A42A71"/>
    <w:rsid w:val="00A42A8A"/>
    <w:rsid w:val="00A42B08"/>
    <w:rsid w:val="00A438FB"/>
    <w:rsid w:val="00A442CC"/>
    <w:rsid w:val="00A44D8E"/>
    <w:rsid w:val="00A46241"/>
    <w:rsid w:val="00A472D4"/>
    <w:rsid w:val="00A476C1"/>
    <w:rsid w:val="00A5114D"/>
    <w:rsid w:val="00A5202A"/>
    <w:rsid w:val="00A52662"/>
    <w:rsid w:val="00A5308A"/>
    <w:rsid w:val="00A54369"/>
    <w:rsid w:val="00A556A9"/>
    <w:rsid w:val="00A55E32"/>
    <w:rsid w:val="00A5667E"/>
    <w:rsid w:val="00A6103C"/>
    <w:rsid w:val="00A611D5"/>
    <w:rsid w:val="00A61577"/>
    <w:rsid w:val="00A61663"/>
    <w:rsid w:val="00A63266"/>
    <w:rsid w:val="00A6345B"/>
    <w:rsid w:val="00A63896"/>
    <w:rsid w:val="00A63900"/>
    <w:rsid w:val="00A64059"/>
    <w:rsid w:val="00A6554C"/>
    <w:rsid w:val="00A65D75"/>
    <w:rsid w:val="00A676B4"/>
    <w:rsid w:val="00A67DBD"/>
    <w:rsid w:val="00A71771"/>
    <w:rsid w:val="00A7195A"/>
    <w:rsid w:val="00A71EDC"/>
    <w:rsid w:val="00A72B52"/>
    <w:rsid w:val="00A74366"/>
    <w:rsid w:val="00A76C23"/>
    <w:rsid w:val="00A77296"/>
    <w:rsid w:val="00A80BEE"/>
    <w:rsid w:val="00A80D7A"/>
    <w:rsid w:val="00A81551"/>
    <w:rsid w:val="00A81B61"/>
    <w:rsid w:val="00A82148"/>
    <w:rsid w:val="00A82639"/>
    <w:rsid w:val="00A82C3D"/>
    <w:rsid w:val="00A82E22"/>
    <w:rsid w:val="00A83017"/>
    <w:rsid w:val="00A84CCD"/>
    <w:rsid w:val="00A860DD"/>
    <w:rsid w:val="00A87483"/>
    <w:rsid w:val="00A87554"/>
    <w:rsid w:val="00A878F2"/>
    <w:rsid w:val="00A87B4C"/>
    <w:rsid w:val="00A90AB6"/>
    <w:rsid w:val="00A9217F"/>
    <w:rsid w:val="00A92D73"/>
    <w:rsid w:val="00A9361C"/>
    <w:rsid w:val="00A93DF7"/>
    <w:rsid w:val="00A94063"/>
    <w:rsid w:val="00A940AF"/>
    <w:rsid w:val="00A946F4"/>
    <w:rsid w:val="00A94B3F"/>
    <w:rsid w:val="00A95FC3"/>
    <w:rsid w:val="00A96085"/>
    <w:rsid w:val="00A96C13"/>
    <w:rsid w:val="00A97AB7"/>
    <w:rsid w:val="00AA036C"/>
    <w:rsid w:val="00AA1F42"/>
    <w:rsid w:val="00AA2627"/>
    <w:rsid w:val="00AA3EAC"/>
    <w:rsid w:val="00AA41D5"/>
    <w:rsid w:val="00AA6D9F"/>
    <w:rsid w:val="00AA6E91"/>
    <w:rsid w:val="00AA746F"/>
    <w:rsid w:val="00AA76E0"/>
    <w:rsid w:val="00AB04DD"/>
    <w:rsid w:val="00AB076F"/>
    <w:rsid w:val="00AB6C0E"/>
    <w:rsid w:val="00AB6DA9"/>
    <w:rsid w:val="00AC08E4"/>
    <w:rsid w:val="00AC1FA2"/>
    <w:rsid w:val="00AC2E40"/>
    <w:rsid w:val="00AC7AE5"/>
    <w:rsid w:val="00AC7F81"/>
    <w:rsid w:val="00AD08E9"/>
    <w:rsid w:val="00AD1B2F"/>
    <w:rsid w:val="00AD233A"/>
    <w:rsid w:val="00AD25B9"/>
    <w:rsid w:val="00AD38AA"/>
    <w:rsid w:val="00AD5D9C"/>
    <w:rsid w:val="00AD6063"/>
    <w:rsid w:val="00AD6990"/>
    <w:rsid w:val="00AD7A69"/>
    <w:rsid w:val="00AE0655"/>
    <w:rsid w:val="00AE13A5"/>
    <w:rsid w:val="00AE1905"/>
    <w:rsid w:val="00AE3E2C"/>
    <w:rsid w:val="00AE5DF0"/>
    <w:rsid w:val="00AE6235"/>
    <w:rsid w:val="00AE62C7"/>
    <w:rsid w:val="00AE6D47"/>
    <w:rsid w:val="00AE6EC6"/>
    <w:rsid w:val="00AF012A"/>
    <w:rsid w:val="00AF01EE"/>
    <w:rsid w:val="00AF0C60"/>
    <w:rsid w:val="00AF3C07"/>
    <w:rsid w:val="00AF3C35"/>
    <w:rsid w:val="00AF6766"/>
    <w:rsid w:val="00AF6A8C"/>
    <w:rsid w:val="00AF71AC"/>
    <w:rsid w:val="00AF7A64"/>
    <w:rsid w:val="00B031E1"/>
    <w:rsid w:val="00B03564"/>
    <w:rsid w:val="00B04366"/>
    <w:rsid w:val="00B05262"/>
    <w:rsid w:val="00B06CE0"/>
    <w:rsid w:val="00B06EA3"/>
    <w:rsid w:val="00B0748C"/>
    <w:rsid w:val="00B10885"/>
    <w:rsid w:val="00B10A4B"/>
    <w:rsid w:val="00B111AB"/>
    <w:rsid w:val="00B12396"/>
    <w:rsid w:val="00B1248F"/>
    <w:rsid w:val="00B13A70"/>
    <w:rsid w:val="00B15C40"/>
    <w:rsid w:val="00B17FAB"/>
    <w:rsid w:val="00B2483E"/>
    <w:rsid w:val="00B2573E"/>
    <w:rsid w:val="00B27BD8"/>
    <w:rsid w:val="00B27F0D"/>
    <w:rsid w:val="00B30B15"/>
    <w:rsid w:val="00B30B51"/>
    <w:rsid w:val="00B32021"/>
    <w:rsid w:val="00B32274"/>
    <w:rsid w:val="00B333D3"/>
    <w:rsid w:val="00B334E8"/>
    <w:rsid w:val="00B34D3F"/>
    <w:rsid w:val="00B35AF7"/>
    <w:rsid w:val="00B37A9C"/>
    <w:rsid w:val="00B40AAB"/>
    <w:rsid w:val="00B4150E"/>
    <w:rsid w:val="00B4153C"/>
    <w:rsid w:val="00B41945"/>
    <w:rsid w:val="00B43E84"/>
    <w:rsid w:val="00B43EA0"/>
    <w:rsid w:val="00B445B2"/>
    <w:rsid w:val="00B45B3F"/>
    <w:rsid w:val="00B460D8"/>
    <w:rsid w:val="00B47612"/>
    <w:rsid w:val="00B52322"/>
    <w:rsid w:val="00B523F5"/>
    <w:rsid w:val="00B54A0A"/>
    <w:rsid w:val="00B55ED6"/>
    <w:rsid w:val="00B565FE"/>
    <w:rsid w:val="00B57076"/>
    <w:rsid w:val="00B57887"/>
    <w:rsid w:val="00B600A2"/>
    <w:rsid w:val="00B62363"/>
    <w:rsid w:val="00B626F9"/>
    <w:rsid w:val="00B62856"/>
    <w:rsid w:val="00B634A9"/>
    <w:rsid w:val="00B63721"/>
    <w:rsid w:val="00B63EFF"/>
    <w:rsid w:val="00B647AB"/>
    <w:rsid w:val="00B67306"/>
    <w:rsid w:val="00B67B39"/>
    <w:rsid w:val="00B67F93"/>
    <w:rsid w:val="00B70AFD"/>
    <w:rsid w:val="00B70D98"/>
    <w:rsid w:val="00B71029"/>
    <w:rsid w:val="00B71C4C"/>
    <w:rsid w:val="00B737AB"/>
    <w:rsid w:val="00B74CA7"/>
    <w:rsid w:val="00B74D5D"/>
    <w:rsid w:val="00B75EFD"/>
    <w:rsid w:val="00B77A23"/>
    <w:rsid w:val="00B77EC5"/>
    <w:rsid w:val="00B80021"/>
    <w:rsid w:val="00B8051A"/>
    <w:rsid w:val="00B80CE6"/>
    <w:rsid w:val="00B80E6F"/>
    <w:rsid w:val="00B80EF9"/>
    <w:rsid w:val="00B81B87"/>
    <w:rsid w:val="00B82347"/>
    <w:rsid w:val="00B8295E"/>
    <w:rsid w:val="00B84017"/>
    <w:rsid w:val="00B84075"/>
    <w:rsid w:val="00B84300"/>
    <w:rsid w:val="00B846F4"/>
    <w:rsid w:val="00B84BB9"/>
    <w:rsid w:val="00B84C20"/>
    <w:rsid w:val="00B852B1"/>
    <w:rsid w:val="00B85FF7"/>
    <w:rsid w:val="00B86603"/>
    <w:rsid w:val="00B86EEA"/>
    <w:rsid w:val="00B87375"/>
    <w:rsid w:val="00B90396"/>
    <w:rsid w:val="00B91585"/>
    <w:rsid w:val="00B915CE"/>
    <w:rsid w:val="00B92155"/>
    <w:rsid w:val="00B92F28"/>
    <w:rsid w:val="00B94B7A"/>
    <w:rsid w:val="00B94FB3"/>
    <w:rsid w:val="00BA015F"/>
    <w:rsid w:val="00BA17DD"/>
    <w:rsid w:val="00BA1C87"/>
    <w:rsid w:val="00BA33FA"/>
    <w:rsid w:val="00BA3794"/>
    <w:rsid w:val="00BA4BB6"/>
    <w:rsid w:val="00BA51FF"/>
    <w:rsid w:val="00BA6A04"/>
    <w:rsid w:val="00BA6A35"/>
    <w:rsid w:val="00BA79B8"/>
    <w:rsid w:val="00BA7E84"/>
    <w:rsid w:val="00BB3B36"/>
    <w:rsid w:val="00BB470F"/>
    <w:rsid w:val="00BB6370"/>
    <w:rsid w:val="00BB6B1A"/>
    <w:rsid w:val="00BC07B7"/>
    <w:rsid w:val="00BC3BAB"/>
    <w:rsid w:val="00BC4549"/>
    <w:rsid w:val="00BD03E6"/>
    <w:rsid w:val="00BD0ECA"/>
    <w:rsid w:val="00BD18FB"/>
    <w:rsid w:val="00BD1F35"/>
    <w:rsid w:val="00BD22F7"/>
    <w:rsid w:val="00BD2C9C"/>
    <w:rsid w:val="00BD3E0E"/>
    <w:rsid w:val="00BD4FC3"/>
    <w:rsid w:val="00BE1A54"/>
    <w:rsid w:val="00BE1CE3"/>
    <w:rsid w:val="00BE246B"/>
    <w:rsid w:val="00BE3038"/>
    <w:rsid w:val="00BE3D73"/>
    <w:rsid w:val="00BE418D"/>
    <w:rsid w:val="00BE512F"/>
    <w:rsid w:val="00BE532A"/>
    <w:rsid w:val="00BE59F7"/>
    <w:rsid w:val="00BE7F5E"/>
    <w:rsid w:val="00BF164D"/>
    <w:rsid w:val="00BF72D1"/>
    <w:rsid w:val="00BF7CE7"/>
    <w:rsid w:val="00BF7D5F"/>
    <w:rsid w:val="00C0111D"/>
    <w:rsid w:val="00C01655"/>
    <w:rsid w:val="00C0373A"/>
    <w:rsid w:val="00C063A7"/>
    <w:rsid w:val="00C11F2D"/>
    <w:rsid w:val="00C141E8"/>
    <w:rsid w:val="00C144BD"/>
    <w:rsid w:val="00C14E06"/>
    <w:rsid w:val="00C16484"/>
    <w:rsid w:val="00C16953"/>
    <w:rsid w:val="00C16AB6"/>
    <w:rsid w:val="00C17A8D"/>
    <w:rsid w:val="00C20D62"/>
    <w:rsid w:val="00C2187D"/>
    <w:rsid w:val="00C22410"/>
    <w:rsid w:val="00C224E1"/>
    <w:rsid w:val="00C2276A"/>
    <w:rsid w:val="00C2323E"/>
    <w:rsid w:val="00C24B25"/>
    <w:rsid w:val="00C31BD0"/>
    <w:rsid w:val="00C31C8A"/>
    <w:rsid w:val="00C3455E"/>
    <w:rsid w:val="00C34668"/>
    <w:rsid w:val="00C3568F"/>
    <w:rsid w:val="00C35BF6"/>
    <w:rsid w:val="00C40200"/>
    <w:rsid w:val="00C405EA"/>
    <w:rsid w:val="00C430EA"/>
    <w:rsid w:val="00C4459D"/>
    <w:rsid w:val="00C44682"/>
    <w:rsid w:val="00C455EC"/>
    <w:rsid w:val="00C4560C"/>
    <w:rsid w:val="00C45B0F"/>
    <w:rsid w:val="00C468A3"/>
    <w:rsid w:val="00C50729"/>
    <w:rsid w:val="00C50A80"/>
    <w:rsid w:val="00C53779"/>
    <w:rsid w:val="00C54AA3"/>
    <w:rsid w:val="00C54EF4"/>
    <w:rsid w:val="00C55196"/>
    <w:rsid w:val="00C559CB"/>
    <w:rsid w:val="00C566DD"/>
    <w:rsid w:val="00C573CA"/>
    <w:rsid w:val="00C578B1"/>
    <w:rsid w:val="00C602BC"/>
    <w:rsid w:val="00C60E3B"/>
    <w:rsid w:val="00C61959"/>
    <w:rsid w:val="00C61E24"/>
    <w:rsid w:val="00C62287"/>
    <w:rsid w:val="00C622D5"/>
    <w:rsid w:val="00C62674"/>
    <w:rsid w:val="00C62ABF"/>
    <w:rsid w:val="00C6555B"/>
    <w:rsid w:val="00C660A6"/>
    <w:rsid w:val="00C664C6"/>
    <w:rsid w:val="00C666A3"/>
    <w:rsid w:val="00C707CD"/>
    <w:rsid w:val="00C70AE6"/>
    <w:rsid w:val="00C7385C"/>
    <w:rsid w:val="00C76610"/>
    <w:rsid w:val="00C81FAA"/>
    <w:rsid w:val="00C827ED"/>
    <w:rsid w:val="00C8290E"/>
    <w:rsid w:val="00C82966"/>
    <w:rsid w:val="00C85248"/>
    <w:rsid w:val="00C86711"/>
    <w:rsid w:val="00C90F42"/>
    <w:rsid w:val="00C934D1"/>
    <w:rsid w:val="00C95B14"/>
    <w:rsid w:val="00C96D21"/>
    <w:rsid w:val="00C97FB7"/>
    <w:rsid w:val="00CA0690"/>
    <w:rsid w:val="00CA2C19"/>
    <w:rsid w:val="00CA3060"/>
    <w:rsid w:val="00CA38FE"/>
    <w:rsid w:val="00CA549A"/>
    <w:rsid w:val="00CA571F"/>
    <w:rsid w:val="00CA5721"/>
    <w:rsid w:val="00CA6453"/>
    <w:rsid w:val="00CA6F06"/>
    <w:rsid w:val="00CB0125"/>
    <w:rsid w:val="00CB0AD4"/>
    <w:rsid w:val="00CB295A"/>
    <w:rsid w:val="00CB499D"/>
    <w:rsid w:val="00CB4F10"/>
    <w:rsid w:val="00CB5163"/>
    <w:rsid w:val="00CB729C"/>
    <w:rsid w:val="00CC0558"/>
    <w:rsid w:val="00CC0D03"/>
    <w:rsid w:val="00CC117F"/>
    <w:rsid w:val="00CC1BB2"/>
    <w:rsid w:val="00CC2C0D"/>
    <w:rsid w:val="00CC4C93"/>
    <w:rsid w:val="00CC5C6F"/>
    <w:rsid w:val="00CC67A6"/>
    <w:rsid w:val="00CC7169"/>
    <w:rsid w:val="00CD0E04"/>
    <w:rsid w:val="00CD3691"/>
    <w:rsid w:val="00CD36AB"/>
    <w:rsid w:val="00CD526D"/>
    <w:rsid w:val="00CD5276"/>
    <w:rsid w:val="00CD56B2"/>
    <w:rsid w:val="00CD78C5"/>
    <w:rsid w:val="00CE0DB9"/>
    <w:rsid w:val="00CE0E50"/>
    <w:rsid w:val="00CE1BDB"/>
    <w:rsid w:val="00CE1FA3"/>
    <w:rsid w:val="00CE2627"/>
    <w:rsid w:val="00CE2DEE"/>
    <w:rsid w:val="00CE35A2"/>
    <w:rsid w:val="00CE397F"/>
    <w:rsid w:val="00CE418C"/>
    <w:rsid w:val="00CF08DE"/>
    <w:rsid w:val="00CF0C6B"/>
    <w:rsid w:val="00CF2071"/>
    <w:rsid w:val="00CF3B99"/>
    <w:rsid w:val="00CF50CC"/>
    <w:rsid w:val="00CF5F95"/>
    <w:rsid w:val="00CF7A0E"/>
    <w:rsid w:val="00D00125"/>
    <w:rsid w:val="00D0109B"/>
    <w:rsid w:val="00D01EF5"/>
    <w:rsid w:val="00D022DD"/>
    <w:rsid w:val="00D046FE"/>
    <w:rsid w:val="00D04D74"/>
    <w:rsid w:val="00D05132"/>
    <w:rsid w:val="00D053B7"/>
    <w:rsid w:val="00D066C4"/>
    <w:rsid w:val="00D06ED9"/>
    <w:rsid w:val="00D0754B"/>
    <w:rsid w:val="00D106F9"/>
    <w:rsid w:val="00D1220F"/>
    <w:rsid w:val="00D1312C"/>
    <w:rsid w:val="00D14724"/>
    <w:rsid w:val="00D14C5A"/>
    <w:rsid w:val="00D1535C"/>
    <w:rsid w:val="00D16D27"/>
    <w:rsid w:val="00D17F12"/>
    <w:rsid w:val="00D20D7C"/>
    <w:rsid w:val="00D22182"/>
    <w:rsid w:val="00D22EC5"/>
    <w:rsid w:val="00D2459B"/>
    <w:rsid w:val="00D24A22"/>
    <w:rsid w:val="00D25F59"/>
    <w:rsid w:val="00D25F7F"/>
    <w:rsid w:val="00D25FA6"/>
    <w:rsid w:val="00D261DC"/>
    <w:rsid w:val="00D2686F"/>
    <w:rsid w:val="00D3026E"/>
    <w:rsid w:val="00D3085F"/>
    <w:rsid w:val="00D349D7"/>
    <w:rsid w:val="00D35C42"/>
    <w:rsid w:val="00D40986"/>
    <w:rsid w:val="00D42CA4"/>
    <w:rsid w:val="00D43805"/>
    <w:rsid w:val="00D46E7A"/>
    <w:rsid w:val="00D503CF"/>
    <w:rsid w:val="00D508D5"/>
    <w:rsid w:val="00D513A4"/>
    <w:rsid w:val="00D51685"/>
    <w:rsid w:val="00D51ACC"/>
    <w:rsid w:val="00D51B23"/>
    <w:rsid w:val="00D51DDD"/>
    <w:rsid w:val="00D537BE"/>
    <w:rsid w:val="00D53AAE"/>
    <w:rsid w:val="00D53EE4"/>
    <w:rsid w:val="00D54200"/>
    <w:rsid w:val="00D54394"/>
    <w:rsid w:val="00D6002A"/>
    <w:rsid w:val="00D602C3"/>
    <w:rsid w:val="00D60E3C"/>
    <w:rsid w:val="00D610DE"/>
    <w:rsid w:val="00D61FE4"/>
    <w:rsid w:val="00D62AE4"/>
    <w:rsid w:val="00D62C7B"/>
    <w:rsid w:val="00D640D9"/>
    <w:rsid w:val="00D66392"/>
    <w:rsid w:val="00D67A68"/>
    <w:rsid w:val="00D67B96"/>
    <w:rsid w:val="00D70EA0"/>
    <w:rsid w:val="00D710BE"/>
    <w:rsid w:val="00D71166"/>
    <w:rsid w:val="00D73B99"/>
    <w:rsid w:val="00D74572"/>
    <w:rsid w:val="00D75B26"/>
    <w:rsid w:val="00D75C7E"/>
    <w:rsid w:val="00D76069"/>
    <w:rsid w:val="00D764A8"/>
    <w:rsid w:val="00D76CD5"/>
    <w:rsid w:val="00D80C40"/>
    <w:rsid w:val="00D81FC3"/>
    <w:rsid w:val="00D82BA5"/>
    <w:rsid w:val="00D8323A"/>
    <w:rsid w:val="00D83B85"/>
    <w:rsid w:val="00D844FB"/>
    <w:rsid w:val="00D85455"/>
    <w:rsid w:val="00D87669"/>
    <w:rsid w:val="00D90A89"/>
    <w:rsid w:val="00D90E8F"/>
    <w:rsid w:val="00D94A33"/>
    <w:rsid w:val="00D97B7B"/>
    <w:rsid w:val="00D97BA6"/>
    <w:rsid w:val="00DA37E7"/>
    <w:rsid w:val="00DA6514"/>
    <w:rsid w:val="00DA71DA"/>
    <w:rsid w:val="00DA7441"/>
    <w:rsid w:val="00DA7751"/>
    <w:rsid w:val="00DB09B5"/>
    <w:rsid w:val="00DB1985"/>
    <w:rsid w:val="00DB19F3"/>
    <w:rsid w:val="00DB2118"/>
    <w:rsid w:val="00DB2BCD"/>
    <w:rsid w:val="00DB5086"/>
    <w:rsid w:val="00DB50F5"/>
    <w:rsid w:val="00DB5665"/>
    <w:rsid w:val="00DC02A2"/>
    <w:rsid w:val="00DC07C4"/>
    <w:rsid w:val="00DC0C2E"/>
    <w:rsid w:val="00DC0C82"/>
    <w:rsid w:val="00DC1CD7"/>
    <w:rsid w:val="00DC2A95"/>
    <w:rsid w:val="00DC307F"/>
    <w:rsid w:val="00DC3EA3"/>
    <w:rsid w:val="00DC5C64"/>
    <w:rsid w:val="00DD0560"/>
    <w:rsid w:val="00DD225D"/>
    <w:rsid w:val="00DD27CC"/>
    <w:rsid w:val="00DD4F3F"/>
    <w:rsid w:val="00DD5035"/>
    <w:rsid w:val="00DD54F7"/>
    <w:rsid w:val="00DD606D"/>
    <w:rsid w:val="00DD6A67"/>
    <w:rsid w:val="00DD6E60"/>
    <w:rsid w:val="00DD72BE"/>
    <w:rsid w:val="00DE0C61"/>
    <w:rsid w:val="00DE0F4B"/>
    <w:rsid w:val="00DE0FD4"/>
    <w:rsid w:val="00DE20E9"/>
    <w:rsid w:val="00DE2EE5"/>
    <w:rsid w:val="00DE3CBC"/>
    <w:rsid w:val="00DE74BF"/>
    <w:rsid w:val="00DE7D28"/>
    <w:rsid w:val="00DF1839"/>
    <w:rsid w:val="00DF202E"/>
    <w:rsid w:val="00DF22F9"/>
    <w:rsid w:val="00DF23BA"/>
    <w:rsid w:val="00DF27DA"/>
    <w:rsid w:val="00DF28C4"/>
    <w:rsid w:val="00DF333A"/>
    <w:rsid w:val="00DF3677"/>
    <w:rsid w:val="00DF3EFF"/>
    <w:rsid w:val="00DF5A51"/>
    <w:rsid w:val="00DF60A0"/>
    <w:rsid w:val="00DF667D"/>
    <w:rsid w:val="00DF7A5A"/>
    <w:rsid w:val="00DF7F2B"/>
    <w:rsid w:val="00E01767"/>
    <w:rsid w:val="00E02F15"/>
    <w:rsid w:val="00E0529F"/>
    <w:rsid w:val="00E05FA0"/>
    <w:rsid w:val="00E05FDD"/>
    <w:rsid w:val="00E063AF"/>
    <w:rsid w:val="00E06A36"/>
    <w:rsid w:val="00E07A5B"/>
    <w:rsid w:val="00E102B1"/>
    <w:rsid w:val="00E146E9"/>
    <w:rsid w:val="00E166A4"/>
    <w:rsid w:val="00E1681D"/>
    <w:rsid w:val="00E173DA"/>
    <w:rsid w:val="00E2097C"/>
    <w:rsid w:val="00E20DA3"/>
    <w:rsid w:val="00E2193E"/>
    <w:rsid w:val="00E22875"/>
    <w:rsid w:val="00E229FD"/>
    <w:rsid w:val="00E26C80"/>
    <w:rsid w:val="00E2713D"/>
    <w:rsid w:val="00E27160"/>
    <w:rsid w:val="00E27C51"/>
    <w:rsid w:val="00E30E7F"/>
    <w:rsid w:val="00E31154"/>
    <w:rsid w:val="00E31891"/>
    <w:rsid w:val="00E31C8B"/>
    <w:rsid w:val="00E32B71"/>
    <w:rsid w:val="00E331D8"/>
    <w:rsid w:val="00E347F6"/>
    <w:rsid w:val="00E355EB"/>
    <w:rsid w:val="00E35F1A"/>
    <w:rsid w:val="00E36926"/>
    <w:rsid w:val="00E37A99"/>
    <w:rsid w:val="00E40AF0"/>
    <w:rsid w:val="00E40FA7"/>
    <w:rsid w:val="00E41B16"/>
    <w:rsid w:val="00E4214B"/>
    <w:rsid w:val="00E4343B"/>
    <w:rsid w:val="00E43A1C"/>
    <w:rsid w:val="00E45463"/>
    <w:rsid w:val="00E467DA"/>
    <w:rsid w:val="00E4697C"/>
    <w:rsid w:val="00E51C28"/>
    <w:rsid w:val="00E52146"/>
    <w:rsid w:val="00E5216D"/>
    <w:rsid w:val="00E52A8B"/>
    <w:rsid w:val="00E530B1"/>
    <w:rsid w:val="00E53900"/>
    <w:rsid w:val="00E53CE1"/>
    <w:rsid w:val="00E53D5B"/>
    <w:rsid w:val="00E54076"/>
    <w:rsid w:val="00E5433D"/>
    <w:rsid w:val="00E548D7"/>
    <w:rsid w:val="00E54A33"/>
    <w:rsid w:val="00E54FCE"/>
    <w:rsid w:val="00E55293"/>
    <w:rsid w:val="00E55C13"/>
    <w:rsid w:val="00E5641A"/>
    <w:rsid w:val="00E57D25"/>
    <w:rsid w:val="00E60383"/>
    <w:rsid w:val="00E608FE"/>
    <w:rsid w:val="00E611D4"/>
    <w:rsid w:val="00E61D98"/>
    <w:rsid w:val="00E6326F"/>
    <w:rsid w:val="00E63B06"/>
    <w:rsid w:val="00E6427B"/>
    <w:rsid w:val="00E65603"/>
    <w:rsid w:val="00E67784"/>
    <w:rsid w:val="00E679B5"/>
    <w:rsid w:val="00E701F7"/>
    <w:rsid w:val="00E714EA"/>
    <w:rsid w:val="00E72392"/>
    <w:rsid w:val="00E726B8"/>
    <w:rsid w:val="00E72D8C"/>
    <w:rsid w:val="00E72DA9"/>
    <w:rsid w:val="00E7349A"/>
    <w:rsid w:val="00E73FCE"/>
    <w:rsid w:val="00E74CE5"/>
    <w:rsid w:val="00E751C7"/>
    <w:rsid w:val="00E75E86"/>
    <w:rsid w:val="00E801E9"/>
    <w:rsid w:val="00E80420"/>
    <w:rsid w:val="00E807E2"/>
    <w:rsid w:val="00E8144F"/>
    <w:rsid w:val="00E82305"/>
    <w:rsid w:val="00E824F6"/>
    <w:rsid w:val="00E838BE"/>
    <w:rsid w:val="00E84A36"/>
    <w:rsid w:val="00E84AE7"/>
    <w:rsid w:val="00E85C75"/>
    <w:rsid w:val="00E86030"/>
    <w:rsid w:val="00E906FD"/>
    <w:rsid w:val="00E90CB4"/>
    <w:rsid w:val="00E91AEE"/>
    <w:rsid w:val="00E920BF"/>
    <w:rsid w:val="00E95CC4"/>
    <w:rsid w:val="00EA01BC"/>
    <w:rsid w:val="00EA0E3A"/>
    <w:rsid w:val="00EA1530"/>
    <w:rsid w:val="00EA1536"/>
    <w:rsid w:val="00EA169E"/>
    <w:rsid w:val="00EA18D5"/>
    <w:rsid w:val="00EA2601"/>
    <w:rsid w:val="00EA2B72"/>
    <w:rsid w:val="00EA39EF"/>
    <w:rsid w:val="00EA409C"/>
    <w:rsid w:val="00EA537C"/>
    <w:rsid w:val="00EA5973"/>
    <w:rsid w:val="00EA5DB0"/>
    <w:rsid w:val="00EA63F2"/>
    <w:rsid w:val="00EA7ABB"/>
    <w:rsid w:val="00EB0B3E"/>
    <w:rsid w:val="00EB26E8"/>
    <w:rsid w:val="00EB2848"/>
    <w:rsid w:val="00EB5D68"/>
    <w:rsid w:val="00EB73FD"/>
    <w:rsid w:val="00EB7881"/>
    <w:rsid w:val="00EC0732"/>
    <w:rsid w:val="00EC0F77"/>
    <w:rsid w:val="00EC1E18"/>
    <w:rsid w:val="00EC25BA"/>
    <w:rsid w:val="00EC333E"/>
    <w:rsid w:val="00EC3CB7"/>
    <w:rsid w:val="00EC6748"/>
    <w:rsid w:val="00EC6C92"/>
    <w:rsid w:val="00EC7485"/>
    <w:rsid w:val="00EC77C3"/>
    <w:rsid w:val="00EC7D63"/>
    <w:rsid w:val="00ED01CE"/>
    <w:rsid w:val="00ED03EE"/>
    <w:rsid w:val="00ED0931"/>
    <w:rsid w:val="00ED0B5B"/>
    <w:rsid w:val="00ED26FA"/>
    <w:rsid w:val="00ED357A"/>
    <w:rsid w:val="00ED3769"/>
    <w:rsid w:val="00ED43B9"/>
    <w:rsid w:val="00ED5792"/>
    <w:rsid w:val="00ED6565"/>
    <w:rsid w:val="00EE1435"/>
    <w:rsid w:val="00EE1499"/>
    <w:rsid w:val="00EE19C1"/>
    <w:rsid w:val="00EE1C72"/>
    <w:rsid w:val="00EE3400"/>
    <w:rsid w:val="00EE4152"/>
    <w:rsid w:val="00EE4410"/>
    <w:rsid w:val="00EE54A3"/>
    <w:rsid w:val="00EE6B11"/>
    <w:rsid w:val="00EE7224"/>
    <w:rsid w:val="00EE7D49"/>
    <w:rsid w:val="00EF1F09"/>
    <w:rsid w:val="00EF38E3"/>
    <w:rsid w:val="00EF4754"/>
    <w:rsid w:val="00EF5F54"/>
    <w:rsid w:val="00EF5FF3"/>
    <w:rsid w:val="00EF6149"/>
    <w:rsid w:val="00EF6E55"/>
    <w:rsid w:val="00EF714F"/>
    <w:rsid w:val="00F01A72"/>
    <w:rsid w:val="00F02F2C"/>
    <w:rsid w:val="00F03E1C"/>
    <w:rsid w:val="00F0532B"/>
    <w:rsid w:val="00F1052E"/>
    <w:rsid w:val="00F12E28"/>
    <w:rsid w:val="00F1306B"/>
    <w:rsid w:val="00F1314F"/>
    <w:rsid w:val="00F1559D"/>
    <w:rsid w:val="00F159EC"/>
    <w:rsid w:val="00F17610"/>
    <w:rsid w:val="00F20869"/>
    <w:rsid w:val="00F20EAC"/>
    <w:rsid w:val="00F21350"/>
    <w:rsid w:val="00F21A06"/>
    <w:rsid w:val="00F21A33"/>
    <w:rsid w:val="00F21FAC"/>
    <w:rsid w:val="00F22AB6"/>
    <w:rsid w:val="00F22E52"/>
    <w:rsid w:val="00F25F5C"/>
    <w:rsid w:val="00F27B70"/>
    <w:rsid w:val="00F3021C"/>
    <w:rsid w:val="00F30E7C"/>
    <w:rsid w:val="00F3132B"/>
    <w:rsid w:val="00F3169D"/>
    <w:rsid w:val="00F31E1A"/>
    <w:rsid w:val="00F31EA5"/>
    <w:rsid w:val="00F32075"/>
    <w:rsid w:val="00F340DC"/>
    <w:rsid w:val="00F34738"/>
    <w:rsid w:val="00F35A32"/>
    <w:rsid w:val="00F35C09"/>
    <w:rsid w:val="00F35C57"/>
    <w:rsid w:val="00F36583"/>
    <w:rsid w:val="00F37BBE"/>
    <w:rsid w:val="00F37C4D"/>
    <w:rsid w:val="00F4085B"/>
    <w:rsid w:val="00F40CB6"/>
    <w:rsid w:val="00F4152A"/>
    <w:rsid w:val="00F42DB8"/>
    <w:rsid w:val="00F430B6"/>
    <w:rsid w:val="00F436DF"/>
    <w:rsid w:val="00F43D94"/>
    <w:rsid w:val="00F446BD"/>
    <w:rsid w:val="00F44BB0"/>
    <w:rsid w:val="00F45164"/>
    <w:rsid w:val="00F45347"/>
    <w:rsid w:val="00F45F1F"/>
    <w:rsid w:val="00F45F55"/>
    <w:rsid w:val="00F46098"/>
    <w:rsid w:val="00F47677"/>
    <w:rsid w:val="00F47B36"/>
    <w:rsid w:val="00F504A7"/>
    <w:rsid w:val="00F50729"/>
    <w:rsid w:val="00F5089E"/>
    <w:rsid w:val="00F53227"/>
    <w:rsid w:val="00F535A6"/>
    <w:rsid w:val="00F53985"/>
    <w:rsid w:val="00F53A1F"/>
    <w:rsid w:val="00F57160"/>
    <w:rsid w:val="00F60F34"/>
    <w:rsid w:val="00F6183D"/>
    <w:rsid w:val="00F623DD"/>
    <w:rsid w:val="00F62D7A"/>
    <w:rsid w:val="00F6338D"/>
    <w:rsid w:val="00F633B4"/>
    <w:rsid w:val="00F633D0"/>
    <w:rsid w:val="00F63405"/>
    <w:rsid w:val="00F63C93"/>
    <w:rsid w:val="00F63FB9"/>
    <w:rsid w:val="00F64170"/>
    <w:rsid w:val="00F64714"/>
    <w:rsid w:val="00F707CA"/>
    <w:rsid w:val="00F70B18"/>
    <w:rsid w:val="00F720E1"/>
    <w:rsid w:val="00F73067"/>
    <w:rsid w:val="00F7375D"/>
    <w:rsid w:val="00F74148"/>
    <w:rsid w:val="00F745BD"/>
    <w:rsid w:val="00F80024"/>
    <w:rsid w:val="00F801A2"/>
    <w:rsid w:val="00F80C1F"/>
    <w:rsid w:val="00F80F41"/>
    <w:rsid w:val="00F821C3"/>
    <w:rsid w:val="00F8257F"/>
    <w:rsid w:val="00F82AE2"/>
    <w:rsid w:val="00F82CB7"/>
    <w:rsid w:val="00F84010"/>
    <w:rsid w:val="00F85500"/>
    <w:rsid w:val="00F85B98"/>
    <w:rsid w:val="00F8720D"/>
    <w:rsid w:val="00F87477"/>
    <w:rsid w:val="00F92E20"/>
    <w:rsid w:val="00F945B7"/>
    <w:rsid w:val="00F96588"/>
    <w:rsid w:val="00F96A84"/>
    <w:rsid w:val="00F97283"/>
    <w:rsid w:val="00F978A4"/>
    <w:rsid w:val="00FA0B72"/>
    <w:rsid w:val="00FA13DC"/>
    <w:rsid w:val="00FA18BB"/>
    <w:rsid w:val="00FA298F"/>
    <w:rsid w:val="00FA4045"/>
    <w:rsid w:val="00FA5408"/>
    <w:rsid w:val="00FB04BD"/>
    <w:rsid w:val="00FB05FC"/>
    <w:rsid w:val="00FB2FB7"/>
    <w:rsid w:val="00FB451D"/>
    <w:rsid w:val="00FB4D46"/>
    <w:rsid w:val="00FB72EE"/>
    <w:rsid w:val="00FC1570"/>
    <w:rsid w:val="00FC1F41"/>
    <w:rsid w:val="00FC3762"/>
    <w:rsid w:val="00FC4663"/>
    <w:rsid w:val="00FC4DA4"/>
    <w:rsid w:val="00FC5B51"/>
    <w:rsid w:val="00FC6014"/>
    <w:rsid w:val="00FC6240"/>
    <w:rsid w:val="00FC64AD"/>
    <w:rsid w:val="00FC789C"/>
    <w:rsid w:val="00FC7CBB"/>
    <w:rsid w:val="00FD004B"/>
    <w:rsid w:val="00FD1637"/>
    <w:rsid w:val="00FD38C0"/>
    <w:rsid w:val="00FD6A11"/>
    <w:rsid w:val="00FE09BB"/>
    <w:rsid w:val="00FE1DD2"/>
    <w:rsid w:val="00FE3431"/>
    <w:rsid w:val="00FE3DE0"/>
    <w:rsid w:val="00FE625B"/>
    <w:rsid w:val="00FE6427"/>
    <w:rsid w:val="00FE720A"/>
    <w:rsid w:val="00FE73F9"/>
    <w:rsid w:val="00FE7995"/>
    <w:rsid w:val="00FE7E4A"/>
    <w:rsid w:val="00FE7ECB"/>
    <w:rsid w:val="00FF0407"/>
    <w:rsid w:val="00FF0B68"/>
    <w:rsid w:val="00FF122F"/>
    <w:rsid w:val="00FF22B3"/>
    <w:rsid w:val="00FF24CE"/>
    <w:rsid w:val="00FF28C3"/>
    <w:rsid w:val="00FF2CB6"/>
    <w:rsid w:val="00FF3A80"/>
    <w:rsid w:val="00FF45FA"/>
    <w:rsid w:val="00FF5451"/>
    <w:rsid w:val="00FF5BEA"/>
    <w:rsid w:val="00FF64FE"/>
    <w:rsid w:val="4565EAA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B1B2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B7F64"/>
    <w:pPr>
      <w:spacing w:line="360" w:lineRule="auto"/>
    </w:pPr>
  </w:style>
  <w:style w:type="paragraph" w:styleId="Overskrift1">
    <w:name w:val="heading 1"/>
    <w:basedOn w:val="Normal"/>
    <w:next w:val="Normal"/>
    <w:link w:val="Overskrift1Tegn"/>
    <w:autoRedefine/>
    <w:uiPriority w:val="9"/>
    <w:qFormat/>
    <w:rsid w:val="00625302"/>
    <w:pPr>
      <w:keepNext/>
      <w:keepLines/>
      <w:spacing w:before="240"/>
      <w:outlineLvl w:val="0"/>
    </w:pPr>
    <w:rPr>
      <w:rFonts w:cs="Times New Roman"/>
      <w:b/>
      <w:sz w:val="32"/>
      <w:lang w:val="en-GB"/>
    </w:rPr>
  </w:style>
  <w:style w:type="paragraph" w:styleId="Overskrift2">
    <w:name w:val="heading 2"/>
    <w:basedOn w:val="Overskrift1"/>
    <w:next w:val="Normal"/>
    <w:link w:val="Overskrift2Tegn"/>
    <w:uiPriority w:val="9"/>
    <w:unhideWhenUsed/>
    <w:qFormat/>
    <w:rsid w:val="00B600A2"/>
    <w:pPr>
      <w:outlineLvl w:val="1"/>
    </w:pPr>
    <w:rPr>
      <w:sz w:val="26"/>
    </w:rPr>
  </w:style>
  <w:style w:type="paragraph" w:styleId="Overskrift3">
    <w:name w:val="heading 3"/>
    <w:basedOn w:val="Overskrift2"/>
    <w:next w:val="Normal"/>
    <w:link w:val="Overskrift3Tegn"/>
    <w:uiPriority w:val="9"/>
    <w:unhideWhenUsed/>
    <w:qFormat/>
    <w:rsid w:val="009D6969"/>
    <w:pPr>
      <w:outlineLvl w:val="2"/>
    </w:pPr>
    <w:rPr>
      <w:b w:val="0"/>
      <w:bCs/>
      <w:i/>
      <w:iCs/>
      <w:sz w:val="24"/>
      <w:szCs w:val="22"/>
      <w:u w:val="single"/>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7D6183"/>
    <w:pPr>
      <w:tabs>
        <w:tab w:val="center" w:pos="4536"/>
        <w:tab w:val="right" w:pos="9072"/>
      </w:tabs>
    </w:pPr>
  </w:style>
  <w:style w:type="character" w:customStyle="1" w:styleId="SidehovedTegn">
    <w:name w:val="Sidehoved Tegn"/>
    <w:basedOn w:val="Standardskrifttypeiafsnit"/>
    <w:link w:val="Sidehoved"/>
    <w:uiPriority w:val="99"/>
    <w:rsid w:val="007D6183"/>
  </w:style>
  <w:style w:type="character" w:styleId="Sidetal">
    <w:name w:val="page number"/>
    <w:basedOn w:val="Standardskrifttypeiafsnit"/>
    <w:uiPriority w:val="99"/>
    <w:semiHidden/>
    <w:unhideWhenUsed/>
    <w:rsid w:val="007D6183"/>
  </w:style>
  <w:style w:type="paragraph" w:styleId="Sidefod">
    <w:name w:val="footer"/>
    <w:basedOn w:val="Normal"/>
    <w:link w:val="SidefodTegn"/>
    <w:uiPriority w:val="99"/>
    <w:unhideWhenUsed/>
    <w:rsid w:val="007D6183"/>
    <w:pPr>
      <w:tabs>
        <w:tab w:val="center" w:pos="4536"/>
        <w:tab w:val="right" w:pos="9072"/>
      </w:tabs>
    </w:pPr>
  </w:style>
  <w:style w:type="character" w:customStyle="1" w:styleId="SidefodTegn">
    <w:name w:val="Sidefod Tegn"/>
    <w:basedOn w:val="Standardskrifttypeiafsnit"/>
    <w:link w:val="Sidefod"/>
    <w:uiPriority w:val="99"/>
    <w:rsid w:val="007D6183"/>
  </w:style>
  <w:style w:type="paragraph" w:styleId="Listeafsnit">
    <w:name w:val="List Paragraph"/>
    <w:basedOn w:val="Normal"/>
    <w:uiPriority w:val="34"/>
    <w:qFormat/>
    <w:rsid w:val="00681DE2"/>
    <w:pPr>
      <w:ind w:left="720"/>
      <w:contextualSpacing/>
    </w:pPr>
  </w:style>
  <w:style w:type="character" w:styleId="Kommentarhenvisning">
    <w:name w:val="annotation reference"/>
    <w:basedOn w:val="Standardskrifttypeiafsnit"/>
    <w:uiPriority w:val="99"/>
    <w:semiHidden/>
    <w:unhideWhenUsed/>
    <w:rsid w:val="005136C8"/>
    <w:rPr>
      <w:sz w:val="18"/>
      <w:szCs w:val="18"/>
    </w:rPr>
  </w:style>
  <w:style w:type="paragraph" w:styleId="Kommentartekst">
    <w:name w:val="annotation text"/>
    <w:basedOn w:val="Normal"/>
    <w:link w:val="KommentartekstTegn"/>
    <w:uiPriority w:val="99"/>
    <w:unhideWhenUsed/>
    <w:rsid w:val="005136C8"/>
  </w:style>
  <w:style w:type="character" w:customStyle="1" w:styleId="KommentartekstTegn">
    <w:name w:val="Kommentartekst Tegn"/>
    <w:basedOn w:val="Standardskrifttypeiafsnit"/>
    <w:link w:val="Kommentartekst"/>
    <w:uiPriority w:val="99"/>
    <w:rsid w:val="005136C8"/>
  </w:style>
  <w:style w:type="paragraph" w:styleId="Kommentaremne">
    <w:name w:val="annotation subject"/>
    <w:basedOn w:val="Kommentartekst"/>
    <w:next w:val="Kommentartekst"/>
    <w:link w:val="KommentaremneTegn"/>
    <w:uiPriority w:val="99"/>
    <w:semiHidden/>
    <w:unhideWhenUsed/>
    <w:rsid w:val="005136C8"/>
    <w:rPr>
      <w:b/>
      <w:bCs/>
      <w:sz w:val="20"/>
      <w:szCs w:val="20"/>
    </w:rPr>
  </w:style>
  <w:style w:type="character" w:customStyle="1" w:styleId="KommentaremneTegn">
    <w:name w:val="Kommentaremne Tegn"/>
    <w:basedOn w:val="KommentartekstTegn"/>
    <w:link w:val="Kommentaremne"/>
    <w:uiPriority w:val="99"/>
    <w:semiHidden/>
    <w:rsid w:val="005136C8"/>
    <w:rPr>
      <w:b/>
      <w:bCs/>
      <w:sz w:val="20"/>
      <w:szCs w:val="20"/>
    </w:rPr>
  </w:style>
  <w:style w:type="paragraph" w:styleId="Markeringsbobletekst">
    <w:name w:val="Balloon Text"/>
    <w:basedOn w:val="Normal"/>
    <w:link w:val="MarkeringsbobletekstTegn"/>
    <w:uiPriority w:val="99"/>
    <w:semiHidden/>
    <w:unhideWhenUsed/>
    <w:rsid w:val="005136C8"/>
    <w:rPr>
      <w:rFonts w:ascii="Times New Roman" w:hAnsi="Times New Roman" w:cs="Times New Roman"/>
      <w:sz w:val="18"/>
      <w:szCs w:val="18"/>
    </w:rPr>
  </w:style>
  <w:style w:type="character" w:customStyle="1" w:styleId="MarkeringsbobletekstTegn">
    <w:name w:val="Markeringsbobletekst Tegn"/>
    <w:basedOn w:val="Standardskrifttypeiafsnit"/>
    <w:link w:val="Markeringsbobletekst"/>
    <w:uiPriority w:val="99"/>
    <w:semiHidden/>
    <w:rsid w:val="005136C8"/>
    <w:rPr>
      <w:rFonts w:ascii="Times New Roman" w:hAnsi="Times New Roman" w:cs="Times New Roman"/>
      <w:sz w:val="18"/>
      <w:szCs w:val="18"/>
    </w:rPr>
  </w:style>
  <w:style w:type="character" w:customStyle="1" w:styleId="Overskrift1Tegn">
    <w:name w:val="Overskrift 1 Tegn"/>
    <w:basedOn w:val="Standardskrifttypeiafsnit"/>
    <w:link w:val="Overskrift1"/>
    <w:uiPriority w:val="9"/>
    <w:rsid w:val="00625302"/>
    <w:rPr>
      <w:rFonts w:cs="Times New Roman"/>
      <w:b/>
      <w:sz w:val="32"/>
      <w:lang w:val="en-GB"/>
    </w:rPr>
  </w:style>
  <w:style w:type="paragraph" w:styleId="Overskrift">
    <w:name w:val="TOC Heading"/>
    <w:basedOn w:val="Overskrift1"/>
    <w:next w:val="Normal"/>
    <w:uiPriority w:val="39"/>
    <w:unhideWhenUsed/>
    <w:qFormat/>
    <w:rsid w:val="0085181D"/>
    <w:pPr>
      <w:spacing w:before="480" w:line="276" w:lineRule="auto"/>
      <w:outlineLvl w:val="9"/>
    </w:pPr>
    <w:rPr>
      <w:b w:val="0"/>
      <w:bCs/>
      <w:lang w:eastAsia="sv-SE"/>
    </w:rPr>
  </w:style>
  <w:style w:type="paragraph" w:styleId="Indholdsfortegnelse1">
    <w:name w:val="toc 1"/>
    <w:basedOn w:val="Normal"/>
    <w:next w:val="Normal"/>
    <w:autoRedefine/>
    <w:uiPriority w:val="39"/>
    <w:unhideWhenUsed/>
    <w:rsid w:val="00C55196"/>
    <w:pPr>
      <w:tabs>
        <w:tab w:val="right" w:leader="dot" w:pos="9054"/>
      </w:tabs>
      <w:spacing w:before="120"/>
    </w:pPr>
    <w:rPr>
      <w:rFonts w:asciiTheme="majorHAnsi" w:hAnsiTheme="majorHAnsi"/>
      <w:b/>
      <w:bCs/>
      <w:color w:val="548DD4"/>
    </w:rPr>
  </w:style>
  <w:style w:type="paragraph" w:styleId="Indholdsfortegnelse2">
    <w:name w:val="toc 2"/>
    <w:basedOn w:val="Normal"/>
    <w:next w:val="Normal"/>
    <w:autoRedefine/>
    <w:uiPriority w:val="39"/>
    <w:unhideWhenUsed/>
    <w:rsid w:val="00785CEE"/>
    <w:pPr>
      <w:tabs>
        <w:tab w:val="right" w:leader="dot" w:pos="9054"/>
      </w:tabs>
    </w:pPr>
    <w:rPr>
      <w:sz w:val="22"/>
      <w:szCs w:val="22"/>
    </w:rPr>
  </w:style>
  <w:style w:type="paragraph" w:styleId="Indholdsfortegnelse3">
    <w:name w:val="toc 3"/>
    <w:basedOn w:val="Normal"/>
    <w:next w:val="Normal"/>
    <w:autoRedefine/>
    <w:uiPriority w:val="39"/>
    <w:unhideWhenUsed/>
    <w:rsid w:val="0085181D"/>
    <w:pPr>
      <w:ind w:left="240"/>
    </w:pPr>
    <w:rPr>
      <w:i/>
      <w:iCs/>
      <w:sz w:val="22"/>
      <w:szCs w:val="22"/>
    </w:rPr>
  </w:style>
  <w:style w:type="paragraph" w:styleId="Indholdsfortegnelse4">
    <w:name w:val="toc 4"/>
    <w:basedOn w:val="Normal"/>
    <w:next w:val="Normal"/>
    <w:autoRedefine/>
    <w:uiPriority w:val="39"/>
    <w:unhideWhenUsed/>
    <w:rsid w:val="0085181D"/>
    <w:pPr>
      <w:pBdr>
        <w:between w:val="double" w:sz="6" w:space="0" w:color="auto"/>
      </w:pBdr>
      <w:ind w:left="480"/>
    </w:pPr>
    <w:rPr>
      <w:sz w:val="20"/>
      <w:szCs w:val="20"/>
    </w:rPr>
  </w:style>
  <w:style w:type="paragraph" w:styleId="Indholdsfortegnelse5">
    <w:name w:val="toc 5"/>
    <w:basedOn w:val="Normal"/>
    <w:next w:val="Normal"/>
    <w:autoRedefine/>
    <w:uiPriority w:val="39"/>
    <w:unhideWhenUsed/>
    <w:rsid w:val="0085181D"/>
    <w:pPr>
      <w:pBdr>
        <w:between w:val="double" w:sz="6" w:space="0" w:color="auto"/>
      </w:pBdr>
      <w:ind w:left="720"/>
    </w:pPr>
    <w:rPr>
      <w:sz w:val="20"/>
      <w:szCs w:val="20"/>
    </w:rPr>
  </w:style>
  <w:style w:type="paragraph" w:styleId="Indholdsfortegnelse6">
    <w:name w:val="toc 6"/>
    <w:basedOn w:val="Normal"/>
    <w:next w:val="Normal"/>
    <w:autoRedefine/>
    <w:uiPriority w:val="39"/>
    <w:unhideWhenUsed/>
    <w:rsid w:val="0085181D"/>
    <w:pPr>
      <w:pBdr>
        <w:between w:val="double" w:sz="6" w:space="0" w:color="auto"/>
      </w:pBdr>
      <w:ind w:left="960"/>
    </w:pPr>
    <w:rPr>
      <w:sz w:val="20"/>
      <w:szCs w:val="20"/>
    </w:rPr>
  </w:style>
  <w:style w:type="paragraph" w:styleId="Indholdsfortegnelse7">
    <w:name w:val="toc 7"/>
    <w:basedOn w:val="Normal"/>
    <w:next w:val="Normal"/>
    <w:autoRedefine/>
    <w:uiPriority w:val="39"/>
    <w:unhideWhenUsed/>
    <w:rsid w:val="0085181D"/>
    <w:pPr>
      <w:pBdr>
        <w:between w:val="double" w:sz="6" w:space="0" w:color="auto"/>
      </w:pBdr>
      <w:ind w:left="1200"/>
    </w:pPr>
    <w:rPr>
      <w:sz w:val="20"/>
      <w:szCs w:val="20"/>
    </w:rPr>
  </w:style>
  <w:style w:type="paragraph" w:styleId="Indholdsfortegnelse8">
    <w:name w:val="toc 8"/>
    <w:basedOn w:val="Normal"/>
    <w:next w:val="Normal"/>
    <w:autoRedefine/>
    <w:uiPriority w:val="39"/>
    <w:unhideWhenUsed/>
    <w:rsid w:val="0085181D"/>
    <w:pPr>
      <w:pBdr>
        <w:between w:val="double" w:sz="6" w:space="0" w:color="auto"/>
      </w:pBdr>
      <w:ind w:left="1440"/>
    </w:pPr>
    <w:rPr>
      <w:sz w:val="20"/>
      <w:szCs w:val="20"/>
    </w:rPr>
  </w:style>
  <w:style w:type="paragraph" w:styleId="Indholdsfortegnelse9">
    <w:name w:val="toc 9"/>
    <w:basedOn w:val="Normal"/>
    <w:next w:val="Normal"/>
    <w:autoRedefine/>
    <w:uiPriority w:val="39"/>
    <w:unhideWhenUsed/>
    <w:rsid w:val="0085181D"/>
    <w:pPr>
      <w:pBdr>
        <w:between w:val="double" w:sz="6" w:space="0" w:color="auto"/>
      </w:pBdr>
      <w:ind w:left="1680"/>
    </w:pPr>
    <w:rPr>
      <w:sz w:val="20"/>
      <w:szCs w:val="20"/>
    </w:rPr>
  </w:style>
  <w:style w:type="paragraph" w:styleId="Titel">
    <w:name w:val="Title"/>
    <w:basedOn w:val="Overskrift1"/>
    <w:next w:val="Normal"/>
    <w:link w:val="TitelTegn"/>
    <w:uiPriority w:val="10"/>
    <w:qFormat/>
    <w:rsid w:val="00506EB9"/>
  </w:style>
  <w:style w:type="character" w:customStyle="1" w:styleId="TitelTegn">
    <w:name w:val="Titel Tegn"/>
    <w:basedOn w:val="Standardskrifttypeiafsnit"/>
    <w:link w:val="Titel"/>
    <w:uiPriority w:val="10"/>
    <w:rsid w:val="00506EB9"/>
    <w:rPr>
      <w:rFonts w:eastAsiaTheme="majorEastAsia" w:cs="Times New Roman"/>
      <w:b/>
      <w:sz w:val="32"/>
      <w:lang w:val="en-GB"/>
    </w:rPr>
  </w:style>
  <w:style w:type="paragraph" w:styleId="Ingenafstand">
    <w:name w:val="No Spacing"/>
    <w:uiPriority w:val="1"/>
    <w:qFormat/>
    <w:rsid w:val="00817B0B"/>
  </w:style>
  <w:style w:type="character" w:styleId="Hyperlink">
    <w:name w:val="Hyperlink"/>
    <w:basedOn w:val="Standardskrifttypeiafsnit"/>
    <w:uiPriority w:val="99"/>
    <w:unhideWhenUsed/>
    <w:rsid w:val="00817B0B"/>
    <w:rPr>
      <w:color w:val="0563C1" w:themeColor="hyperlink"/>
      <w:u w:val="single"/>
    </w:rPr>
  </w:style>
  <w:style w:type="paragraph" w:styleId="Undertitel">
    <w:name w:val="Subtitle"/>
    <w:basedOn w:val="Normal"/>
    <w:next w:val="Normal"/>
    <w:link w:val="UndertitelTegn"/>
    <w:uiPriority w:val="11"/>
    <w:qFormat/>
    <w:rsid w:val="00251C16"/>
    <w:pPr>
      <w:numPr>
        <w:ilvl w:val="1"/>
      </w:numPr>
      <w:spacing w:after="160"/>
    </w:pPr>
    <w:rPr>
      <w:rFonts w:eastAsiaTheme="minorEastAsia"/>
      <w:color w:val="5A5A5A" w:themeColor="text1" w:themeTint="A5"/>
      <w:spacing w:val="15"/>
      <w:sz w:val="22"/>
      <w:szCs w:val="22"/>
    </w:rPr>
  </w:style>
  <w:style w:type="character" w:customStyle="1" w:styleId="UndertitelTegn">
    <w:name w:val="Undertitel Tegn"/>
    <w:basedOn w:val="Standardskrifttypeiafsnit"/>
    <w:link w:val="Undertitel"/>
    <w:uiPriority w:val="11"/>
    <w:rsid w:val="00251C16"/>
    <w:rPr>
      <w:rFonts w:eastAsiaTheme="minorEastAsia"/>
      <w:color w:val="5A5A5A" w:themeColor="text1" w:themeTint="A5"/>
      <w:spacing w:val="15"/>
      <w:sz w:val="22"/>
      <w:szCs w:val="22"/>
    </w:rPr>
  </w:style>
  <w:style w:type="character" w:customStyle="1" w:styleId="Overskrift2Tegn">
    <w:name w:val="Overskrift 2 Tegn"/>
    <w:basedOn w:val="Standardskrifttypeiafsnit"/>
    <w:link w:val="Overskrift2"/>
    <w:uiPriority w:val="9"/>
    <w:rsid w:val="00B600A2"/>
    <w:rPr>
      <w:rFonts w:eastAsiaTheme="majorEastAsia" w:cs="Times New Roman"/>
      <w:b/>
      <w:sz w:val="26"/>
      <w:lang w:val="en-GB"/>
    </w:rPr>
  </w:style>
  <w:style w:type="character" w:customStyle="1" w:styleId="Overskrift3Tegn">
    <w:name w:val="Overskrift 3 Tegn"/>
    <w:basedOn w:val="Standardskrifttypeiafsnit"/>
    <w:link w:val="Overskrift3"/>
    <w:uiPriority w:val="9"/>
    <w:rsid w:val="009D6969"/>
    <w:rPr>
      <w:rFonts w:cs="Times New Roman"/>
      <w:bCs/>
      <w:i/>
      <w:iCs/>
      <w:szCs w:val="22"/>
      <w:u w:val="single"/>
      <w:lang w:val="en-GB"/>
    </w:rPr>
  </w:style>
  <w:style w:type="table" w:styleId="Tabel-Gitter">
    <w:name w:val="Table Grid"/>
    <w:basedOn w:val="Tabel-Normal"/>
    <w:uiPriority w:val="39"/>
    <w:rsid w:val="00E92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lmindeligtabel1">
    <w:name w:val="Plain Table 1"/>
    <w:basedOn w:val="Tabel-Normal"/>
    <w:uiPriority w:val="41"/>
    <w:rsid w:val="00E920B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lmindeligtabel3">
    <w:name w:val="Plain Table 3"/>
    <w:basedOn w:val="Tabel-Normal"/>
    <w:uiPriority w:val="43"/>
    <w:rsid w:val="00E920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lmindeligtabel2">
    <w:name w:val="Plain Table 2"/>
    <w:basedOn w:val="Tabel-Normal"/>
    <w:uiPriority w:val="42"/>
    <w:rsid w:val="00E920B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tabel1-lys">
    <w:name w:val="Grid Table 1 Light"/>
    <w:basedOn w:val="Tabel-Normal"/>
    <w:uiPriority w:val="46"/>
    <w:rsid w:val="00E920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BesgtLink">
    <w:name w:val="FollowedHyperlink"/>
    <w:basedOn w:val="Standardskrifttypeiafsnit"/>
    <w:uiPriority w:val="99"/>
    <w:semiHidden/>
    <w:unhideWhenUsed/>
    <w:rsid w:val="00400B3A"/>
    <w:rPr>
      <w:color w:val="954F72" w:themeColor="followedHyperlink"/>
      <w:u w:val="single"/>
    </w:rPr>
  </w:style>
  <w:style w:type="paragraph" w:styleId="Korrektur">
    <w:name w:val="Revision"/>
    <w:hidden/>
    <w:uiPriority w:val="99"/>
    <w:semiHidden/>
    <w:rsid w:val="00B1248F"/>
  </w:style>
  <w:style w:type="character" w:customStyle="1" w:styleId="apple-converted-space">
    <w:name w:val="apple-converted-space"/>
    <w:basedOn w:val="Standardskrifttypeiafsnit"/>
    <w:rsid w:val="001A69D6"/>
  </w:style>
  <w:style w:type="character" w:customStyle="1" w:styleId="fontstyle01">
    <w:name w:val="fontstyle01"/>
    <w:basedOn w:val="Standardskrifttypeiafsnit"/>
    <w:rsid w:val="00D106F9"/>
    <w:rPr>
      <w:rFonts w:ascii="Calibri" w:hAnsi="Calibri" w:cs="Calibri" w:hint="default"/>
      <w:b w:val="0"/>
      <w:bCs w:val="0"/>
      <w:i w:val="0"/>
      <w:iCs w:val="0"/>
      <w:color w:val="000000"/>
      <w:sz w:val="24"/>
      <w:szCs w:val="24"/>
    </w:rPr>
  </w:style>
  <w:style w:type="character" w:customStyle="1" w:styleId="Ulstomtale1">
    <w:name w:val="Uløst omtale1"/>
    <w:basedOn w:val="Standardskrifttypeiafsnit"/>
    <w:uiPriority w:val="99"/>
    <w:rsid w:val="00F37BBE"/>
    <w:rPr>
      <w:color w:val="605E5C"/>
      <w:shd w:val="clear" w:color="auto" w:fill="E1DFDD"/>
    </w:rPr>
  </w:style>
  <w:style w:type="character" w:customStyle="1" w:styleId="highwire-citation-authors">
    <w:name w:val="highwire-citation-authors"/>
    <w:basedOn w:val="Standardskrifttypeiafsnit"/>
    <w:rsid w:val="00AD5D9C"/>
  </w:style>
  <w:style w:type="character" w:customStyle="1" w:styleId="highwire-citation-author">
    <w:name w:val="highwire-citation-author"/>
    <w:basedOn w:val="Standardskrifttypeiafsnit"/>
    <w:rsid w:val="00AD5D9C"/>
  </w:style>
  <w:style w:type="character" w:customStyle="1" w:styleId="nlm-surname">
    <w:name w:val="nlm-surname"/>
    <w:basedOn w:val="Standardskrifttypeiafsnit"/>
    <w:rsid w:val="00AD5D9C"/>
  </w:style>
  <w:style w:type="character" w:customStyle="1" w:styleId="citation-et">
    <w:name w:val="citation-et"/>
    <w:basedOn w:val="Standardskrifttypeiafsnit"/>
    <w:rsid w:val="00AD5D9C"/>
  </w:style>
  <w:style w:type="character" w:customStyle="1" w:styleId="highwire-cite-metadata-journal">
    <w:name w:val="highwire-cite-metadata-journal"/>
    <w:basedOn w:val="Standardskrifttypeiafsnit"/>
    <w:rsid w:val="00AD5D9C"/>
  </w:style>
  <w:style w:type="character" w:customStyle="1" w:styleId="highwire-cite-metadata-year">
    <w:name w:val="highwire-cite-metadata-year"/>
    <w:basedOn w:val="Standardskrifttypeiafsnit"/>
    <w:rsid w:val="00AD5D9C"/>
  </w:style>
  <w:style w:type="character" w:customStyle="1" w:styleId="highwire-cite-metadata-volume">
    <w:name w:val="highwire-cite-metadata-volume"/>
    <w:basedOn w:val="Standardskrifttypeiafsnit"/>
    <w:rsid w:val="00AD5D9C"/>
  </w:style>
  <w:style w:type="character" w:customStyle="1" w:styleId="highwire-cite-metadata-pages">
    <w:name w:val="highwire-cite-metadata-pages"/>
    <w:basedOn w:val="Standardskrifttypeiafsnit"/>
    <w:rsid w:val="00AD5D9C"/>
  </w:style>
  <w:style w:type="character" w:customStyle="1" w:styleId="author-name">
    <w:name w:val="author-name"/>
    <w:basedOn w:val="Standardskrifttypeiafsnit"/>
    <w:rsid w:val="00424EA8"/>
  </w:style>
  <w:style w:type="character" w:customStyle="1" w:styleId="il">
    <w:name w:val="il"/>
    <w:basedOn w:val="Standardskrifttypeiafsnit"/>
    <w:rsid w:val="001A2C37"/>
  </w:style>
  <w:style w:type="paragraph" w:customStyle="1" w:styleId="EndNoteBibliography">
    <w:name w:val="EndNote Bibliography"/>
    <w:basedOn w:val="Normal"/>
    <w:link w:val="EndNoteBibliographyChar"/>
    <w:rsid w:val="00F25F5C"/>
    <w:pPr>
      <w:jc w:val="both"/>
    </w:pPr>
    <w:rPr>
      <w:rFonts w:ascii="Calibri" w:hAnsi="Calibri" w:cs="Calibri"/>
      <w:color w:val="000000" w:themeColor="text1"/>
      <w:lang w:val="en-US"/>
    </w:rPr>
  </w:style>
  <w:style w:type="character" w:customStyle="1" w:styleId="EndNoteBibliographyChar">
    <w:name w:val="EndNote Bibliography Char"/>
    <w:basedOn w:val="Standardskrifttypeiafsnit"/>
    <w:link w:val="EndNoteBibliography"/>
    <w:rsid w:val="00F25F5C"/>
    <w:rPr>
      <w:rFonts w:ascii="Calibri" w:hAnsi="Calibri" w:cs="Calibri"/>
      <w:color w:val="000000" w:themeColor="text1"/>
      <w:lang w:val="en-US"/>
    </w:rPr>
  </w:style>
  <w:style w:type="character" w:customStyle="1" w:styleId="Rubrik1">
    <w:name w:val="Rubrik1"/>
    <w:basedOn w:val="Standardskrifttypeiafsnit"/>
    <w:rsid w:val="00962789"/>
  </w:style>
  <w:style w:type="character" w:customStyle="1" w:styleId="Underrubrik1">
    <w:name w:val="Underrubrik1"/>
    <w:basedOn w:val="Standardskrifttypeiafsnit"/>
    <w:rsid w:val="00962789"/>
  </w:style>
  <w:style w:type="paragraph" w:customStyle="1" w:styleId="p1">
    <w:name w:val="p1"/>
    <w:basedOn w:val="Normal"/>
    <w:rsid w:val="00320070"/>
    <w:pPr>
      <w:spacing w:line="240" w:lineRule="auto"/>
    </w:pPr>
    <w:rPr>
      <w:rFonts w:ascii="Helvetica" w:hAnsi="Helvetica" w:cs="Times New Roman"/>
      <w:sz w:val="12"/>
      <w:szCs w:val="1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62">
      <w:bodyDiv w:val="1"/>
      <w:marLeft w:val="0"/>
      <w:marRight w:val="0"/>
      <w:marTop w:val="0"/>
      <w:marBottom w:val="0"/>
      <w:divBdr>
        <w:top w:val="none" w:sz="0" w:space="0" w:color="auto"/>
        <w:left w:val="none" w:sz="0" w:space="0" w:color="auto"/>
        <w:bottom w:val="none" w:sz="0" w:space="0" w:color="auto"/>
        <w:right w:val="none" w:sz="0" w:space="0" w:color="auto"/>
      </w:divBdr>
    </w:div>
    <w:div w:id="78645516">
      <w:bodyDiv w:val="1"/>
      <w:marLeft w:val="0"/>
      <w:marRight w:val="0"/>
      <w:marTop w:val="0"/>
      <w:marBottom w:val="0"/>
      <w:divBdr>
        <w:top w:val="none" w:sz="0" w:space="0" w:color="auto"/>
        <w:left w:val="none" w:sz="0" w:space="0" w:color="auto"/>
        <w:bottom w:val="none" w:sz="0" w:space="0" w:color="auto"/>
        <w:right w:val="none" w:sz="0" w:space="0" w:color="auto"/>
      </w:divBdr>
    </w:div>
    <w:div w:id="85928417">
      <w:bodyDiv w:val="1"/>
      <w:marLeft w:val="0"/>
      <w:marRight w:val="0"/>
      <w:marTop w:val="0"/>
      <w:marBottom w:val="0"/>
      <w:divBdr>
        <w:top w:val="none" w:sz="0" w:space="0" w:color="auto"/>
        <w:left w:val="none" w:sz="0" w:space="0" w:color="auto"/>
        <w:bottom w:val="none" w:sz="0" w:space="0" w:color="auto"/>
        <w:right w:val="none" w:sz="0" w:space="0" w:color="auto"/>
      </w:divBdr>
    </w:div>
    <w:div w:id="181404027">
      <w:bodyDiv w:val="1"/>
      <w:marLeft w:val="0"/>
      <w:marRight w:val="0"/>
      <w:marTop w:val="0"/>
      <w:marBottom w:val="0"/>
      <w:divBdr>
        <w:top w:val="none" w:sz="0" w:space="0" w:color="auto"/>
        <w:left w:val="none" w:sz="0" w:space="0" w:color="auto"/>
        <w:bottom w:val="none" w:sz="0" w:space="0" w:color="auto"/>
        <w:right w:val="none" w:sz="0" w:space="0" w:color="auto"/>
      </w:divBdr>
    </w:div>
    <w:div w:id="198906043">
      <w:bodyDiv w:val="1"/>
      <w:marLeft w:val="0"/>
      <w:marRight w:val="0"/>
      <w:marTop w:val="0"/>
      <w:marBottom w:val="0"/>
      <w:divBdr>
        <w:top w:val="none" w:sz="0" w:space="0" w:color="auto"/>
        <w:left w:val="none" w:sz="0" w:space="0" w:color="auto"/>
        <w:bottom w:val="none" w:sz="0" w:space="0" w:color="auto"/>
        <w:right w:val="none" w:sz="0" w:space="0" w:color="auto"/>
      </w:divBdr>
    </w:div>
    <w:div w:id="202644272">
      <w:bodyDiv w:val="1"/>
      <w:marLeft w:val="0"/>
      <w:marRight w:val="0"/>
      <w:marTop w:val="0"/>
      <w:marBottom w:val="0"/>
      <w:divBdr>
        <w:top w:val="none" w:sz="0" w:space="0" w:color="auto"/>
        <w:left w:val="none" w:sz="0" w:space="0" w:color="auto"/>
        <w:bottom w:val="none" w:sz="0" w:space="0" w:color="auto"/>
        <w:right w:val="none" w:sz="0" w:space="0" w:color="auto"/>
      </w:divBdr>
    </w:div>
    <w:div w:id="206992392">
      <w:bodyDiv w:val="1"/>
      <w:marLeft w:val="0"/>
      <w:marRight w:val="0"/>
      <w:marTop w:val="0"/>
      <w:marBottom w:val="0"/>
      <w:divBdr>
        <w:top w:val="none" w:sz="0" w:space="0" w:color="auto"/>
        <w:left w:val="none" w:sz="0" w:space="0" w:color="auto"/>
        <w:bottom w:val="none" w:sz="0" w:space="0" w:color="auto"/>
        <w:right w:val="none" w:sz="0" w:space="0" w:color="auto"/>
      </w:divBdr>
    </w:div>
    <w:div w:id="331445569">
      <w:bodyDiv w:val="1"/>
      <w:marLeft w:val="0"/>
      <w:marRight w:val="0"/>
      <w:marTop w:val="0"/>
      <w:marBottom w:val="0"/>
      <w:divBdr>
        <w:top w:val="none" w:sz="0" w:space="0" w:color="auto"/>
        <w:left w:val="none" w:sz="0" w:space="0" w:color="auto"/>
        <w:bottom w:val="none" w:sz="0" w:space="0" w:color="auto"/>
        <w:right w:val="none" w:sz="0" w:space="0" w:color="auto"/>
      </w:divBdr>
      <w:divsChild>
        <w:div w:id="2009556206">
          <w:marLeft w:val="0"/>
          <w:marRight w:val="0"/>
          <w:marTop w:val="0"/>
          <w:marBottom w:val="0"/>
          <w:divBdr>
            <w:top w:val="none" w:sz="0" w:space="0" w:color="auto"/>
            <w:left w:val="none" w:sz="0" w:space="0" w:color="auto"/>
            <w:bottom w:val="none" w:sz="0" w:space="0" w:color="auto"/>
            <w:right w:val="none" w:sz="0" w:space="0" w:color="auto"/>
          </w:divBdr>
          <w:divsChild>
            <w:div w:id="1300956457">
              <w:marLeft w:val="0"/>
              <w:marRight w:val="0"/>
              <w:marTop w:val="0"/>
              <w:marBottom w:val="0"/>
              <w:divBdr>
                <w:top w:val="none" w:sz="0" w:space="0" w:color="auto"/>
                <w:left w:val="none" w:sz="0" w:space="0" w:color="auto"/>
                <w:bottom w:val="none" w:sz="0" w:space="0" w:color="auto"/>
                <w:right w:val="none" w:sz="0" w:space="0" w:color="auto"/>
              </w:divBdr>
              <w:divsChild>
                <w:div w:id="842163400">
                  <w:marLeft w:val="0"/>
                  <w:marRight w:val="0"/>
                  <w:marTop w:val="0"/>
                  <w:marBottom w:val="0"/>
                  <w:divBdr>
                    <w:top w:val="none" w:sz="0" w:space="0" w:color="auto"/>
                    <w:left w:val="none" w:sz="0" w:space="0" w:color="auto"/>
                    <w:bottom w:val="none" w:sz="0" w:space="0" w:color="auto"/>
                    <w:right w:val="none" w:sz="0" w:space="0" w:color="auto"/>
                  </w:divBdr>
                </w:div>
                <w:div w:id="1182628698">
                  <w:marLeft w:val="0"/>
                  <w:marRight w:val="0"/>
                  <w:marTop w:val="0"/>
                  <w:marBottom w:val="0"/>
                  <w:divBdr>
                    <w:top w:val="none" w:sz="0" w:space="0" w:color="auto"/>
                    <w:left w:val="none" w:sz="0" w:space="0" w:color="auto"/>
                    <w:bottom w:val="none" w:sz="0" w:space="0" w:color="auto"/>
                    <w:right w:val="none" w:sz="0" w:space="0" w:color="auto"/>
                  </w:divBdr>
                </w:div>
                <w:div w:id="207233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335696">
      <w:bodyDiv w:val="1"/>
      <w:marLeft w:val="0"/>
      <w:marRight w:val="0"/>
      <w:marTop w:val="0"/>
      <w:marBottom w:val="0"/>
      <w:divBdr>
        <w:top w:val="none" w:sz="0" w:space="0" w:color="auto"/>
        <w:left w:val="none" w:sz="0" w:space="0" w:color="auto"/>
        <w:bottom w:val="none" w:sz="0" w:space="0" w:color="auto"/>
        <w:right w:val="none" w:sz="0" w:space="0" w:color="auto"/>
      </w:divBdr>
    </w:div>
    <w:div w:id="376665474">
      <w:bodyDiv w:val="1"/>
      <w:marLeft w:val="0"/>
      <w:marRight w:val="0"/>
      <w:marTop w:val="0"/>
      <w:marBottom w:val="0"/>
      <w:divBdr>
        <w:top w:val="none" w:sz="0" w:space="0" w:color="auto"/>
        <w:left w:val="none" w:sz="0" w:space="0" w:color="auto"/>
        <w:bottom w:val="none" w:sz="0" w:space="0" w:color="auto"/>
        <w:right w:val="none" w:sz="0" w:space="0" w:color="auto"/>
      </w:divBdr>
    </w:div>
    <w:div w:id="378626876">
      <w:bodyDiv w:val="1"/>
      <w:marLeft w:val="0"/>
      <w:marRight w:val="0"/>
      <w:marTop w:val="0"/>
      <w:marBottom w:val="0"/>
      <w:divBdr>
        <w:top w:val="none" w:sz="0" w:space="0" w:color="auto"/>
        <w:left w:val="none" w:sz="0" w:space="0" w:color="auto"/>
        <w:bottom w:val="none" w:sz="0" w:space="0" w:color="auto"/>
        <w:right w:val="none" w:sz="0" w:space="0" w:color="auto"/>
      </w:divBdr>
    </w:div>
    <w:div w:id="478884253">
      <w:bodyDiv w:val="1"/>
      <w:marLeft w:val="0"/>
      <w:marRight w:val="0"/>
      <w:marTop w:val="0"/>
      <w:marBottom w:val="0"/>
      <w:divBdr>
        <w:top w:val="none" w:sz="0" w:space="0" w:color="auto"/>
        <w:left w:val="none" w:sz="0" w:space="0" w:color="auto"/>
        <w:bottom w:val="none" w:sz="0" w:space="0" w:color="auto"/>
        <w:right w:val="none" w:sz="0" w:space="0" w:color="auto"/>
      </w:divBdr>
    </w:div>
    <w:div w:id="491872343">
      <w:bodyDiv w:val="1"/>
      <w:marLeft w:val="0"/>
      <w:marRight w:val="0"/>
      <w:marTop w:val="0"/>
      <w:marBottom w:val="0"/>
      <w:divBdr>
        <w:top w:val="none" w:sz="0" w:space="0" w:color="auto"/>
        <w:left w:val="none" w:sz="0" w:space="0" w:color="auto"/>
        <w:bottom w:val="none" w:sz="0" w:space="0" w:color="auto"/>
        <w:right w:val="none" w:sz="0" w:space="0" w:color="auto"/>
      </w:divBdr>
    </w:div>
    <w:div w:id="500194126">
      <w:bodyDiv w:val="1"/>
      <w:marLeft w:val="0"/>
      <w:marRight w:val="0"/>
      <w:marTop w:val="0"/>
      <w:marBottom w:val="0"/>
      <w:divBdr>
        <w:top w:val="none" w:sz="0" w:space="0" w:color="auto"/>
        <w:left w:val="none" w:sz="0" w:space="0" w:color="auto"/>
        <w:bottom w:val="none" w:sz="0" w:space="0" w:color="auto"/>
        <w:right w:val="none" w:sz="0" w:space="0" w:color="auto"/>
      </w:divBdr>
    </w:div>
    <w:div w:id="569536336">
      <w:bodyDiv w:val="1"/>
      <w:marLeft w:val="0"/>
      <w:marRight w:val="0"/>
      <w:marTop w:val="0"/>
      <w:marBottom w:val="0"/>
      <w:divBdr>
        <w:top w:val="none" w:sz="0" w:space="0" w:color="auto"/>
        <w:left w:val="none" w:sz="0" w:space="0" w:color="auto"/>
        <w:bottom w:val="none" w:sz="0" w:space="0" w:color="auto"/>
        <w:right w:val="none" w:sz="0" w:space="0" w:color="auto"/>
      </w:divBdr>
    </w:div>
    <w:div w:id="573513775">
      <w:bodyDiv w:val="1"/>
      <w:marLeft w:val="0"/>
      <w:marRight w:val="0"/>
      <w:marTop w:val="0"/>
      <w:marBottom w:val="0"/>
      <w:divBdr>
        <w:top w:val="none" w:sz="0" w:space="0" w:color="auto"/>
        <w:left w:val="none" w:sz="0" w:space="0" w:color="auto"/>
        <w:bottom w:val="none" w:sz="0" w:space="0" w:color="auto"/>
        <w:right w:val="none" w:sz="0" w:space="0" w:color="auto"/>
      </w:divBdr>
    </w:div>
    <w:div w:id="638653945">
      <w:bodyDiv w:val="1"/>
      <w:marLeft w:val="0"/>
      <w:marRight w:val="0"/>
      <w:marTop w:val="0"/>
      <w:marBottom w:val="0"/>
      <w:divBdr>
        <w:top w:val="none" w:sz="0" w:space="0" w:color="auto"/>
        <w:left w:val="none" w:sz="0" w:space="0" w:color="auto"/>
        <w:bottom w:val="none" w:sz="0" w:space="0" w:color="auto"/>
        <w:right w:val="none" w:sz="0" w:space="0" w:color="auto"/>
      </w:divBdr>
    </w:div>
    <w:div w:id="686520658">
      <w:bodyDiv w:val="1"/>
      <w:marLeft w:val="0"/>
      <w:marRight w:val="0"/>
      <w:marTop w:val="0"/>
      <w:marBottom w:val="0"/>
      <w:divBdr>
        <w:top w:val="none" w:sz="0" w:space="0" w:color="auto"/>
        <w:left w:val="none" w:sz="0" w:space="0" w:color="auto"/>
        <w:bottom w:val="none" w:sz="0" w:space="0" w:color="auto"/>
        <w:right w:val="none" w:sz="0" w:space="0" w:color="auto"/>
      </w:divBdr>
    </w:div>
    <w:div w:id="730616060">
      <w:bodyDiv w:val="1"/>
      <w:marLeft w:val="0"/>
      <w:marRight w:val="0"/>
      <w:marTop w:val="0"/>
      <w:marBottom w:val="0"/>
      <w:divBdr>
        <w:top w:val="none" w:sz="0" w:space="0" w:color="auto"/>
        <w:left w:val="none" w:sz="0" w:space="0" w:color="auto"/>
        <w:bottom w:val="none" w:sz="0" w:space="0" w:color="auto"/>
        <w:right w:val="none" w:sz="0" w:space="0" w:color="auto"/>
      </w:divBdr>
    </w:div>
    <w:div w:id="733504016">
      <w:bodyDiv w:val="1"/>
      <w:marLeft w:val="0"/>
      <w:marRight w:val="0"/>
      <w:marTop w:val="0"/>
      <w:marBottom w:val="0"/>
      <w:divBdr>
        <w:top w:val="none" w:sz="0" w:space="0" w:color="auto"/>
        <w:left w:val="none" w:sz="0" w:space="0" w:color="auto"/>
        <w:bottom w:val="none" w:sz="0" w:space="0" w:color="auto"/>
        <w:right w:val="none" w:sz="0" w:space="0" w:color="auto"/>
      </w:divBdr>
    </w:div>
    <w:div w:id="768622976">
      <w:bodyDiv w:val="1"/>
      <w:marLeft w:val="0"/>
      <w:marRight w:val="0"/>
      <w:marTop w:val="0"/>
      <w:marBottom w:val="0"/>
      <w:divBdr>
        <w:top w:val="none" w:sz="0" w:space="0" w:color="auto"/>
        <w:left w:val="none" w:sz="0" w:space="0" w:color="auto"/>
        <w:bottom w:val="none" w:sz="0" w:space="0" w:color="auto"/>
        <w:right w:val="none" w:sz="0" w:space="0" w:color="auto"/>
      </w:divBdr>
    </w:div>
    <w:div w:id="823470860">
      <w:bodyDiv w:val="1"/>
      <w:marLeft w:val="0"/>
      <w:marRight w:val="0"/>
      <w:marTop w:val="0"/>
      <w:marBottom w:val="0"/>
      <w:divBdr>
        <w:top w:val="none" w:sz="0" w:space="0" w:color="auto"/>
        <w:left w:val="none" w:sz="0" w:space="0" w:color="auto"/>
        <w:bottom w:val="none" w:sz="0" w:space="0" w:color="auto"/>
        <w:right w:val="none" w:sz="0" w:space="0" w:color="auto"/>
      </w:divBdr>
    </w:div>
    <w:div w:id="846868129">
      <w:bodyDiv w:val="1"/>
      <w:marLeft w:val="0"/>
      <w:marRight w:val="0"/>
      <w:marTop w:val="0"/>
      <w:marBottom w:val="0"/>
      <w:divBdr>
        <w:top w:val="none" w:sz="0" w:space="0" w:color="auto"/>
        <w:left w:val="none" w:sz="0" w:space="0" w:color="auto"/>
        <w:bottom w:val="none" w:sz="0" w:space="0" w:color="auto"/>
        <w:right w:val="none" w:sz="0" w:space="0" w:color="auto"/>
      </w:divBdr>
    </w:div>
    <w:div w:id="849835667">
      <w:bodyDiv w:val="1"/>
      <w:marLeft w:val="0"/>
      <w:marRight w:val="0"/>
      <w:marTop w:val="0"/>
      <w:marBottom w:val="0"/>
      <w:divBdr>
        <w:top w:val="none" w:sz="0" w:space="0" w:color="auto"/>
        <w:left w:val="none" w:sz="0" w:space="0" w:color="auto"/>
        <w:bottom w:val="none" w:sz="0" w:space="0" w:color="auto"/>
        <w:right w:val="none" w:sz="0" w:space="0" w:color="auto"/>
      </w:divBdr>
    </w:div>
    <w:div w:id="868879203">
      <w:bodyDiv w:val="1"/>
      <w:marLeft w:val="0"/>
      <w:marRight w:val="0"/>
      <w:marTop w:val="0"/>
      <w:marBottom w:val="0"/>
      <w:divBdr>
        <w:top w:val="none" w:sz="0" w:space="0" w:color="auto"/>
        <w:left w:val="none" w:sz="0" w:space="0" w:color="auto"/>
        <w:bottom w:val="none" w:sz="0" w:space="0" w:color="auto"/>
        <w:right w:val="none" w:sz="0" w:space="0" w:color="auto"/>
      </w:divBdr>
    </w:div>
    <w:div w:id="894582110">
      <w:bodyDiv w:val="1"/>
      <w:marLeft w:val="0"/>
      <w:marRight w:val="0"/>
      <w:marTop w:val="0"/>
      <w:marBottom w:val="0"/>
      <w:divBdr>
        <w:top w:val="none" w:sz="0" w:space="0" w:color="auto"/>
        <w:left w:val="none" w:sz="0" w:space="0" w:color="auto"/>
        <w:bottom w:val="none" w:sz="0" w:space="0" w:color="auto"/>
        <w:right w:val="none" w:sz="0" w:space="0" w:color="auto"/>
      </w:divBdr>
    </w:div>
    <w:div w:id="898251313">
      <w:bodyDiv w:val="1"/>
      <w:marLeft w:val="0"/>
      <w:marRight w:val="0"/>
      <w:marTop w:val="0"/>
      <w:marBottom w:val="0"/>
      <w:divBdr>
        <w:top w:val="none" w:sz="0" w:space="0" w:color="auto"/>
        <w:left w:val="none" w:sz="0" w:space="0" w:color="auto"/>
        <w:bottom w:val="none" w:sz="0" w:space="0" w:color="auto"/>
        <w:right w:val="none" w:sz="0" w:space="0" w:color="auto"/>
      </w:divBdr>
    </w:div>
    <w:div w:id="1034235140">
      <w:bodyDiv w:val="1"/>
      <w:marLeft w:val="0"/>
      <w:marRight w:val="0"/>
      <w:marTop w:val="0"/>
      <w:marBottom w:val="0"/>
      <w:divBdr>
        <w:top w:val="none" w:sz="0" w:space="0" w:color="auto"/>
        <w:left w:val="none" w:sz="0" w:space="0" w:color="auto"/>
        <w:bottom w:val="none" w:sz="0" w:space="0" w:color="auto"/>
        <w:right w:val="none" w:sz="0" w:space="0" w:color="auto"/>
      </w:divBdr>
    </w:div>
    <w:div w:id="1038167858">
      <w:bodyDiv w:val="1"/>
      <w:marLeft w:val="0"/>
      <w:marRight w:val="0"/>
      <w:marTop w:val="0"/>
      <w:marBottom w:val="0"/>
      <w:divBdr>
        <w:top w:val="none" w:sz="0" w:space="0" w:color="auto"/>
        <w:left w:val="none" w:sz="0" w:space="0" w:color="auto"/>
        <w:bottom w:val="none" w:sz="0" w:space="0" w:color="auto"/>
        <w:right w:val="none" w:sz="0" w:space="0" w:color="auto"/>
      </w:divBdr>
    </w:div>
    <w:div w:id="1048920101">
      <w:bodyDiv w:val="1"/>
      <w:marLeft w:val="0"/>
      <w:marRight w:val="0"/>
      <w:marTop w:val="0"/>
      <w:marBottom w:val="0"/>
      <w:divBdr>
        <w:top w:val="none" w:sz="0" w:space="0" w:color="auto"/>
        <w:left w:val="none" w:sz="0" w:space="0" w:color="auto"/>
        <w:bottom w:val="none" w:sz="0" w:space="0" w:color="auto"/>
        <w:right w:val="none" w:sz="0" w:space="0" w:color="auto"/>
      </w:divBdr>
    </w:div>
    <w:div w:id="1099716322">
      <w:bodyDiv w:val="1"/>
      <w:marLeft w:val="0"/>
      <w:marRight w:val="0"/>
      <w:marTop w:val="0"/>
      <w:marBottom w:val="0"/>
      <w:divBdr>
        <w:top w:val="none" w:sz="0" w:space="0" w:color="auto"/>
        <w:left w:val="none" w:sz="0" w:space="0" w:color="auto"/>
        <w:bottom w:val="none" w:sz="0" w:space="0" w:color="auto"/>
        <w:right w:val="none" w:sz="0" w:space="0" w:color="auto"/>
      </w:divBdr>
    </w:div>
    <w:div w:id="1128744734">
      <w:bodyDiv w:val="1"/>
      <w:marLeft w:val="0"/>
      <w:marRight w:val="0"/>
      <w:marTop w:val="0"/>
      <w:marBottom w:val="0"/>
      <w:divBdr>
        <w:top w:val="none" w:sz="0" w:space="0" w:color="auto"/>
        <w:left w:val="none" w:sz="0" w:space="0" w:color="auto"/>
        <w:bottom w:val="none" w:sz="0" w:space="0" w:color="auto"/>
        <w:right w:val="none" w:sz="0" w:space="0" w:color="auto"/>
      </w:divBdr>
    </w:div>
    <w:div w:id="1132748799">
      <w:bodyDiv w:val="1"/>
      <w:marLeft w:val="0"/>
      <w:marRight w:val="0"/>
      <w:marTop w:val="0"/>
      <w:marBottom w:val="0"/>
      <w:divBdr>
        <w:top w:val="none" w:sz="0" w:space="0" w:color="auto"/>
        <w:left w:val="none" w:sz="0" w:space="0" w:color="auto"/>
        <w:bottom w:val="none" w:sz="0" w:space="0" w:color="auto"/>
        <w:right w:val="none" w:sz="0" w:space="0" w:color="auto"/>
      </w:divBdr>
    </w:div>
    <w:div w:id="1138374483">
      <w:bodyDiv w:val="1"/>
      <w:marLeft w:val="0"/>
      <w:marRight w:val="0"/>
      <w:marTop w:val="0"/>
      <w:marBottom w:val="0"/>
      <w:divBdr>
        <w:top w:val="none" w:sz="0" w:space="0" w:color="auto"/>
        <w:left w:val="none" w:sz="0" w:space="0" w:color="auto"/>
        <w:bottom w:val="none" w:sz="0" w:space="0" w:color="auto"/>
        <w:right w:val="none" w:sz="0" w:space="0" w:color="auto"/>
      </w:divBdr>
    </w:div>
    <w:div w:id="1151487458">
      <w:bodyDiv w:val="1"/>
      <w:marLeft w:val="0"/>
      <w:marRight w:val="0"/>
      <w:marTop w:val="0"/>
      <w:marBottom w:val="0"/>
      <w:divBdr>
        <w:top w:val="none" w:sz="0" w:space="0" w:color="auto"/>
        <w:left w:val="none" w:sz="0" w:space="0" w:color="auto"/>
        <w:bottom w:val="none" w:sz="0" w:space="0" w:color="auto"/>
        <w:right w:val="none" w:sz="0" w:space="0" w:color="auto"/>
      </w:divBdr>
    </w:div>
    <w:div w:id="1183326080">
      <w:bodyDiv w:val="1"/>
      <w:marLeft w:val="0"/>
      <w:marRight w:val="0"/>
      <w:marTop w:val="0"/>
      <w:marBottom w:val="0"/>
      <w:divBdr>
        <w:top w:val="none" w:sz="0" w:space="0" w:color="auto"/>
        <w:left w:val="none" w:sz="0" w:space="0" w:color="auto"/>
        <w:bottom w:val="none" w:sz="0" w:space="0" w:color="auto"/>
        <w:right w:val="none" w:sz="0" w:space="0" w:color="auto"/>
      </w:divBdr>
    </w:div>
    <w:div w:id="1228225883">
      <w:bodyDiv w:val="1"/>
      <w:marLeft w:val="0"/>
      <w:marRight w:val="0"/>
      <w:marTop w:val="0"/>
      <w:marBottom w:val="0"/>
      <w:divBdr>
        <w:top w:val="none" w:sz="0" w:space="0" w:color="auto"/>
        <w:left w:val="none" w:sz="0" w:space="0" w:color="auto"/>
        <w:bottom w:val="none" w:sz="0" w:space="0" w:color="auto"/>
        <w:right w:val="none" w:sz="0" w:space="0" w:color="auto"/>
      </w:divBdr>
    </w:div>
    <w:div w:id="1295066305">
      <w:bodyDiv w:val="1"/>
      <w:marLeft w:val="0"/>
      <w:marRight w:val="0"/>
      <w:marTop w:val="0"/>
      <w:marBottom w:val="0"/>
      <w:divBdr>
        <w:top w:val="none" w:sz="0" w:space="0" w:color="auto"/>
        <w:left w:val="none" w:sz="0" w:space="0" w:color="auto"/>
        <w:bottom w:val="none" w:sz="0" w:space="0" w:color="auto"/>
        <w:right w:val="none" w:sz="0" w:space="0" w:color="auto"/>
      </w:divBdr>
    </w:div>
    <w:div w:id="1312445828">
      <w:bodyDiv w:val="1"/>
      <w:marLeft w:val="0"/>
      <w:marRight w:val="0"/>
      <w:marTop w:val="0"/>
      <w:marBottom w:val="0"/>
      <w:divBdr>
        <w:top w:val="none" w:sz="0" w:space="0" w:color="auto"/>
        <w:left w:val="none" w:sz="0" w:space="0" w:color="auto"/>
        <w:bottom w:val="none" w:sz="0" w:space="0" w:color="auto"/>
        <w:right w:val="none" w:sz="0" w:space="0" w:color="auto"/>
      </w:divBdr>
    </w:div>
    <w:div w:id="1342006014">
      <w:bodyDiv w:val="1"/>
      <w:marLeft w:val="0"/>
      <w:marRight w:val="0"/>
      <w:marTop w:val="0"/>
      <w:marBottom w:val="0"/>
      <w:divBdr>
        <w:top w:val="none" w:sz="0" w:space="0" w:color="auto"/>
        <w:left w:val="none" w:sz="0" w:space="0" w:color="auto"/>
        <w:bottom w:val="none" w:sz="0" w:space="0" w:color="auto"/>
        <w:right w:val="none" w:sz="0" w:space="0" w:color="auto"/>
      </w:divBdr>
    </w:div>
    <w:div w:id="1358576819">
      <w:bodyDiv w:val="1"/>
      <w:marLeft w:val="0"/>
      <w:marRight w:val="0"/>
      <w:marTop w:val="0"/>
      <w:marBottom w:val="0"/>
      <w:divBdr>
        <w:top w:val="none" w:sz="0" w:space="0" w:color="auto"/>
        <w:left w:val="none" w:sz="0" w:space="0" w:color="auto"/>
        <w:bottom w:val="none" w:sz="0" w:space="0" w:color="auto"/>
        <w:right w:val="none" w:sz="0" w:space="0" w:color="auto"/>
      </w:divBdr>
    </w:div>
    <w:div w:id="1368946444">
      <w:bodyDiv w:val="1"/>
      <w:marLeft w:val="0"/>
      <w:marRight w:val="0"/>
      <w:marTop w:val="0"/>
      <w:marBottom w:val="0"/>
      <w:divBdr>
        <w:top w:val="none" w:sz="0" w:space="0" w:color="auto"/>
        <w:left w:val="none" w:sz="0" w:space="0" w:color="auto"/>
        <w:bottom w:val="none" w:sz="0" w:space="0" w:color="auto"/>
        <w:right w:val="none" w:sz="0" w:space="0" w:color="auto"/>
      </w:divBdr>
    </w:div>
    <w:div w:id="1380667255">
      <w:bodyDiv w:val="1"/>
      <w:marLeft w:val="0"/>
      <w:marRight w:val="0"/>
      <w:marTop w:val="0"/>
      <w:marBottom w:val="0"/>
      <w:divBdr>
        <w:top w:val="none" w:sz="0" w:space="0" w:color="auto"/>
        <w:left w:val="none" w:sz="0" w:space="0" w:color="auto"/>
        <w:bottom w:val="none" w:sz="0" w:space="0" w:color="auto"/>
        <w:right w:val="none" w:sz="0" w:space="0" w:color="auto"/>
      </w:divBdr>
    </w:div>
    <w:div w:id="1396313411">
      <w:bodyDiv w:val="1"/>
      <w:marLeft w:val="0"/>
      <w:marRight w:val="0"/>
      <w:marTop w:val="0"/>
      <w:marBottom w:val="0"/>
      <w:divBdr>
        <w:top w:val="none" w:sz="0" w:space="0" w:color="auto"/>
        <w:left w:val="none" w:sz="0" w:space="0" w:color="auto"/>
        <w:bottom w:val="none" w:sz="0" w:space="0" w:color="auto"/>
        <w:right w:val="none" w:sz="0" w:space="0" w:color="auto"/>
      </w:divBdr>
    </w:div>
    <w:div w:id="1401053991">
      <w:bodyDiv w:val="1"/>
      <w:marLeft w:val="0"/>
      <w:marRight w:val="0"/>
      <w:marTop w:val="0"/>
      <w:marBottom w:val="0"/>
      <w:divBdr>
        <w:top w:val="none" w:sz="0" w:space="0" w:color="auto"/>
        <w:left w:val="none" w:sz="0" w:space="0" w:color="auto"/>
        <w:bottom w:val="none" w:sz="0" w:space="0" w:color="auto"/>
        <w:right w:val="none" w:sz="0" w:space="0" w:color="auto"/>
      </w:divBdr>
    </w:div>
    <w:div w:id="1407806320">
      <w:bodyDiv w:val="1"/>
      <w:marLeft w:val="0"/>
      <w:marRight w:val="0"/>
      <w:marTop w:val="0"/>
      <w:marBottom w:val="0"/>
      <w:divBdr>
        <w:top w:val="none" w:sz="0" w:space="0" w:color="auto"/>
        <w:left w:val="none" w:sz="0" w:space="0" w:color="auto"/>
        <w:bottom w:val="none" w:sz="0" w:space="0" w:color="auto"/>
        <w:right w:val="none" w:sz="0" w:space="0" w:color="auto"/>
      </w:divBdr>
    </w:div>
    <w:div w:id="1497376821">
      <w:bodyDiv w:val="1"/>
      <w:marLeft w:val="0"/>
      <w:marRight w:val="0"/>
      <w:marTop w:val="0"/>
      <w:marBottom w:val="0"/>
      <w:divBdr>
        <w:top w:val="none" w:sz="0" w:space="0" w:color="auto"/>
        <w:left w:val="none" w:sz="0" w:space="0" w:color="auto"/>
        <w:bottom w:val="none" w:sz="0" w:space="0" w:color="auto"/>
        <w:right w:val="none" w:sz="0" w:space="0" w:color="auto"/>
      </w:divBdr>
      <w:divsChild>
        <w:div w:id="704670303">
          <w:marLeft w:val="0"/>
          <w:marRight w:val="0"/>
          <w:marTop w:val="0"/>
          <w:marBottom w:val="0"/>
          <w:divBdr>
            <w:top w:val="none" w:sz="0" w:space="0" w:color="auto"/>
            <w:left w:val="none" w:sz="0" w:space="0" w:color="auto"/>
            <w:bottom w:val="none" w:sz="0" w:space="0" w:color="auto"/>
            <w:right w:val="none" w:sz="0" w:space="0" w:color="auto"/>
          </w:divBdr>
        </w:div>
      </w:divsChild>
    </w:div>
    <w:div w:id="1520044145">
      <w:bodyDiv w:val="1"/>
      <w:marLeft w:val="0"/>
      <w:marRight w:val="0"/>
      <w:marTop w:val="0"/>
      <w:marBottom w:val="0"/>
      <w:divBdr>
        <w:top w:val="none" w:sz="0" w:space="0" w:color="auto"/>
        <w:left w:val="none" w:sz="0" w:space="0" w:color="auto"/>
        <w:bottom w:val="none" w:sz="0" w:space="0" w:color="auto"/>
        <w:right w:val="none" w:sz="0" w:space="0" w:color="auto"/>
      </w:divBdr>
    </w:div>
    <w:div w:id="1613903700">
      <w:bodyDiv w:val="1"/>
      <w:marLeft w:val="0"/>
      <w:marRight w:val="0"/>
      <w:marTop w:val="0"/>
      <w:marBottom w:val="0"/>
      <w:divBdr>
        <w:top w:val="none" w:sz="0" w:space="0" w:color="auto"/>
        <w:left w:val="none" w:sz="0" w:space="0" w:color="auto"/>
        <w:bottom w:val="none" w:sz="0" w:space="0" w:color="auto"/>
        <w:right w:val="none" w:sz="0" w:space="0" w:color="auto"/>
      </w:divBdr>
    </w:div>
    <w:div w:id="1721395789">
      <w:bodyDiv w:val="1"/>
      <w:marLeft w:val="0"/>
      <w:marRight w:val="0"/>
      <w:marTop w:val="0"/>
      <w:marBottom w:val="0"/>
      <w:divBdr>
        <w:top w:val="none" w:sz="0" w:space="0" w:color="auto"/>
        <w:left w:val="none" w:sz="0" w:space="0" w:color="auto"/>
        <w:bottom w:val="none" w:sz="0" w:space="0" w:color="auto"/>
        <w:right w:val="none" w:sz="0" w:space="0" w:color="auto"/>
      </w:divBdr>
    </w:div>
    <w:div w:id="1729113927">
      <w:bodyDiv w:val="1"/>
      <w:marLeft w:val="0"/>
      <w:marRight w:val="0"/>
      <w:marTop w:val="0"/>
      <w:marBottom w:val="0"/>
      <w:divBdr>
        <w:top w:val="none" w:sz="0" w:space="0" w:color="auto"/>
        <w:left w:val="none" w:sz="0" w:space="0" w:color="auto"/>
        <w:bottom w:val="none" w:sz="0" w:space="0" w:color="auto"/>
        <w:right w:val="none" w:sz="0" w:space="0" w:color="auto"/>
      </w:divBdr>
    </w:div>
    <w:div w:id="1753509652">
      <w:bodyDiv w:val="1"/>
      <w:marLeft w:val="0"/>
      <w:marRight w:val="0"/>
      <w:marTop w:val="0"/>
      <w:marBottom w:val="0"/>
      <w:divBdr>
        <w:top w:val="none" w:sz="0" w:space="0" w:color="auto"/>
        <w:left w:val="none" w:sz="0" w:space="0" w:color="auto"/>
        <w:bottom w:val="none" w:sz="0" w:space="0" w:color="auto"/>
        <w:right w:val="none" w:sz="0" w:space="0" w:color="auto"/>
      </w:divBdr>
    </w:div>
    <w:div w:id="1770274276">
      <w:bodyDiv w:val="1"/>
      <w:marLeft w:val="0"/>
      <w:marRight w:val="0"/>
      <w:marTop w:val="0"/>
      <w:marBottom w:val="0"/>
      <w:divBdr>
        <w:top w:val="none" w:sz="0" w:space="0" w:color="auto"/>
        <w:left w:val="none" w:sz="0" w:space="0" w:color="auto"/>
        <w:bottom w:val="none" w:sz="0" w:space="0" w:color="auto"/>
        <w:right w:val="none" w:sz="0" w:space="0" w:color="auto"/>
      </w:divBdr>
    </w:div>
    <w:div w:id="1874920278">
      <w:bodyDiv w:val="1"/>
      <w:marLeft w:val="0"/>
      <w:marRight w:val="0"/>
      <w:marTop w:val="0"/>
      <w:marBottom w:val="0"/>
      <w:divBdr>
        <w:top w:val="none" w:sz="0" w:space="0" w:color="auto"/>
        <w:left w:val="none" w:sz="0" w:space="0" w:color="auto"/>
        <w:bottom w:val="none" w:sz="0" w:space="0" w:color="auto"/>
        <w:right w:val="none" w:sz="0" w:space="0" w:color="auto"/>
      </w:divBdr>
    </w:div>
    <w:div w:id="1927960983">
      <w:bodyDiv w:val="1"/>
      <w:marLeft w:val="0"/>
      <w:marRight w:val="0"/>
      <w:marTop w:val="0"/>
      <w:marBottom w:val="0"/>
      <w:divBdr>
        <w:top w:val="none" w:sz="0" w:space="0" w:color="auto"/>
        <w:left w:val="none" w:sz="0" w:space="0" w:color="auto"/>
        <w:bottom w:val="none" w:sz="0" w:space="0" w:color="auto"/>
        <w:right w:val="none" w:sz="0" w:space="0" w:color="auto"/>
      </w:divBdr>
    </w:div>
    <w:div w:id="1965578471">
      <w:bodyDiv w:val="1"/>
      <w:marLeft w:val="0"/>
      <w:marRight w:val="0"/>
      <w:marTop w:val="0"/>
      <w:marBottom w:val="0"/>
      <w:divBdr>
        <w:top w:val="none" w:sz="0" w:space="0" w:color="auto"/>
        <w:left w:val="none" w:sz="0" w:space="0" w:color="auto"/>
        <w:bottom w:val="none" w:sz="0" w:space="0" w:color="auto"/>
        <w:right w:val="none" w:sz="0" w:space="0" w:color="auto"/>
      </w:divBdr>
    </w:div>
    <w:div w:id="1975017916">
      <w:bodyDiv w:val="1"/>
      <w:marLeft w:val="0"/>
      <w:marRight w:val="0"/>
      <w:marTop w:val="0"/>
      <w:marBottom w:val="0"/>
      <w:divBdr>
        <w:top w:val="none" w:sz="0" w:space="0" w:color="auto"/>
        <w:left w:val="none" w:sz="0" w:space="0" w:color="auto"/>
        <w:bottom w:val="none" w:sz="0" w:space="0" w:color="auto"/>
        <w:right w:val="none" w:sz="0" w:space="0" w:color="auto"/>
      </w:divBdr>
    </w:div>
    <w:div w:id="2021421588">
      <w:bodyDiv w:val="1"/>
      <w:marLeft w:val="0"/>
      <w:marRight w:val="0"/>
      <w:marTop w:val="0"/>
      <w:marBottom w:val="0"/>
      <w:divBdr>
        <w:top w:val="none" w:sz="0" w:space="0" w:color="auto"/>
        <w:left w:val="none" w:sz="0" w:space="0" w:color="auto"/>
        <w:bottom w:val="none" w:sz="0" w:space="0" w:color="auto"/>
        <w:right w:val="none" w:sz="0" w:space="0" w:color="auto"/>
      </w:divBdr>
    </w:div>
    <w:div w:id="2039546402">
      <w:bodyDiv w:val="1"/>
      <w:marLeft w:val="0"/>
      <w:marRight w:val="0"/>
      <w:marTop w:val="0"/>
      <w:marBottom w:val="0"/>
      <w:divBdr>
        <w:top w:val="none" w:sz="0" w:space="0" w:color="auto"/>
        <w:left w:val="none" w:sz="0" w:space="0" w:color="auto"/>
        <w:bottom w:val="none" w:sz="0" w:space="0" w:color="auto"/>
        <w:right w:val="none" w:sz="0" w:space="0" w:color="auto"/>
      </w:divBdr>
    </w:div>
    <w:div w:id="2048293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ering"/>
</file>

<file path=customXml/itemProps1.xml><?xml version="1.0" encoding="utf-8"?>
<ds:datastoreItem xmlns:ds="http://schemas.openxmlformats.org/officeDocument/2006/customXml" ds:itemID="{0B8C9859-A1AF-0541-B794-4F23E5444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9585</Words>
  <Characters>58469</Characters>
  <Application>Microsoft Office Word</Application>
  <DocSecurity>0</DocSecurity>
  <Lines>487</Lines>
  <Paragraphs>135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Spångfors</dc:creator>
  <cp:keywords/>
  <dc:description/>
  <cp:lastModifiedBy>Markus Harboe Olsen</cp:lastModifiedBy>
  <cp:revision>3</cp:revision>
  <cp:lastPrinted>2020-11-19T13:10:00Z</cp:lastPrinted>
  <dcterms:created xsi:type="dcterms:W3CDTF">2022-12-01T21:52:00Z</dcterms:created>
  <dcterms:modified xsi:type="dcterms:W3CDTF">2022-12-02T19:33:00Z</dcterms:modified>
</cp:coreProperties>
</file>